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271F" w14:textId="251662CA" w:rsidR="00BB587B" w:rsidRDefault="00992A42" w:rsidP="00BB587B">
      <w:pPr>
        <w:pStyle w:val="Heading1"/>
        <w:rPr>
          <w:lang w:val="en-US"/>
        </w:rPr>
      </w:pPr>
      <w:r w:rsidRPr="00992A42">
        <w:rPr>
          <w:lang w:val="en-US"/>
        </w:rPr>
        <w:t>University of Sydney HDR Policies</w:t>
      </w:r>
    </w:p>
    <w:p w14:paraId="5D769425" w14:textId="3C2BFA5D" w:rsidR="00992A42" w:rsidRPr="00992A42" w:rsidRDefault="00992A42" w:rsidP="00992A42">
      <w:pPr>
        <w:rPr>
          <w:lang w:val="en-US"/>
        </w:rPr>
      </w:pPr>
      <w:r w:rsidRPr="00992A42">
        <w:rPr>
          <w:lang w:val="en-US"/>
        </w:rPr>
        <w:t xml:space="preserve">Research students are required to follow all relevant policies, </w:t>
      </w:r>
      <w:r w:rsidR="009C6761" w:rsidRPr="00992A42">
        <w:rPr>
          <w:lang w:val="en-US"/>
        </w:rPr>
        <w:t>procedures</w:t>
      </w:r>
      <w:r w:rsidRPr="00992A42">
        <w:rPr>
          <w:lang w:val="en-US"/>
        </w:rPr>
        <w:t xml:space="preserve"> and rules</w:t>
      </w:r>
      <w:r w:rsidR="009C6761">
        <w:rPr>
          <w:lang w:val="en-US"/>
        </w:rPr>
        <w:t xml:space="preserve"> of the University, as well as those of your faculty,</w:t>
      </w:r>
      <w:r w:rsidRPr="00992A42">
        <w:rPr>
          <w:lang w:val="en-US"/>
        </w:rPr>
        <w:t xml:space="preserve"> throughout </w:t>
      </w:r>
      <w:r w:rsidR="009C6761">
        <w:rPr>
          <w:lang w:val="en-US"/>
        </w:rPr>
        <w:t>you</w:t>
      </w:r>
      <w:r w:rsidRPr="00992A42">
        <w:rPr>
          <w:lang w:val="en-US"/>
        </w:rPr>
        <w:t xml:space="preserve">r candidature. The </w:t>
      </w:r>
      <w:r w:rsidR="009C6761">
        <w:rPr>
          <w:lang w:val="en-US"/>
        </w:rPr>
        <w:t>U</w:t>
      </w:r>
      <w:r w:rsidRPr="00992A42">
        <w:rPr>
          <w:lang w:val="en-US"/>
        </w:rPr>
        <w:t>niversity policies include:</w:t>
      </w:r>
    </w:p>
    <w:p w14:paraId="291E33C6" w14:textId="75F74E63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8" w:history="1">
        <w:r w:rsidR="00992A42" w:rsidRPr="00AC5C90">
          <w:rPr>
            <w:rStyle w:val="Hyperlink"/>
            <w:iCs/>
            <w:lang w:val="en-US"/>
          </w:rPr>
          <w:t>Essential Resources for Higher Degree by Research Students Policy 2016</w:t>
        </w:r>
      </w:hyperlink>
    </w:p>
    <w:p w14:paraId="06B4EEBA" w14:textId="41808CC7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9" w:history="1">
        <w:r w:rsidR="00992A42" w:rsidRPr="00AC5C90">
          <w:rPr>
            <w:rStyle w:val="Hyperlink"/>
            <w:iCs/>
            <w:lang w:val="en-US"/>
          </w:rPr>
          <w:t>Progress Planning and Review for Higher Degree by Research Students Policy 2015 (as amended)</w:t>
        </w:r>
      </w:hyperlink>
    </w:p>
    <w:p w14:paraId="66370719" w14:textId="282DF643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0" w:history="1">
        <w:r w:rsidR="00992A42" w:rsidRPr="00AC5C90">
          <w:rPr>
            <w:rStyle w:val="Hyperlink"/>
            <w:iCs/>
            <w:lang w:val="en-US"/>
          </w:rPr>
          <w:t>Progress Planning and Review for Higher Degree by Research Students Procedures 2015 (as amended)</w:t>
        </w:r>
      </w:hyperlink>
    </w:p>
    <w:p w14:paraId="68182664" w14:textId="4E59EEA4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1" w:history="1">
        <w:r w:rsidR="00992A42" w:rsidRPr="00AC5C90">
          <w:rPr>
            <w:rStyle w:val="Hyperlink"/>
            <w:iCs/>
            <w:lang w:val="en-US"/>
          </w:rPr>
          <w:t>University of Sydney (Higher Degree by Research) Rule 2011 (as amended)</w:t>
        </w:r>
      </w:hyperlink>
    </w:p>
    <w:p w14:paraId="0185C225" w14:textId="6FB614B9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2" w:history="1">
        <w:r w:rsidR="00992A42" w:rsidRPr="00AC5C90">
          <w:rPr>
            <w:rStyle w:val="Hyperlink"/>
            <w:iCs/>
            <w:lang w:val="en-US"/>
          </w:rPr>
          <w:t>Higher Degree by Research Supervision Policy 2020</w:t>
        </w:r>
      </w:hyperlink>
    </w:p>
    <w:p w14:paraId="0375A391" w14:textId="32F39F17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3" w:history="1">
        <w:r w:rsidR="00992A42" w:rsidRPr="00AC5C90">
          <w:rPr>
            <w:rStyle w:val="Hyperlink"/>
            <w:iCs/>
            <w:lang w:val="en-US"/>
          </w:rPr>
          <w:t>Higher Degree by Research Supervision Procedures 2020</w:t>
        </w:r>
      </w:hyperlink>
    </w:p>
    <w:p w14:paraId="5310A5E7" w14:textId="1F662451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4" w:history="1">
        <w:r w:rsidR="00992A42" w:rsidRPr="00AC5C90">
          <w:rPr>
            <w:rStyle w:val="Hyperlink"/>
            <w:iCs/>
            <w:lang w:val="en-US"/>
          </w:rPr>
          <w:t>Thesis and Examination of Higher Degree by Research Policy 2015</w:t>
        </w:r>
      </w:hyperlink>
    </w:p>
    <w:p w14:paraId="40B9650B" w14:textId="05DE6A78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5" w:history="1">
        <w:r w:rsidR="00992A42" w:rsidRPr="00AC5C90">
          <w:rPr>
            <w:rStyle w:val="Hyperlink"/>
            <w:iCs/>
            <w:lang w:val="en-US"/>
          </w:rPr>
          <w:t>Thesis and Examination of Higher Degree by Research Procedures 2020</w:t>
        </w:r>
      </w:hyperlink>
    </w:p>
    <w:p w14:paraId="23663495" w14:textId="77777777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6" w:tgtFrame="_blank" w:history="1">
        <w:r w:rsidR="00992A42" w:rsidRPr="00AC5C90">
          <w:rPr>
            <w:rStyle w:val="Hyperlink"/>
            <w:iCs/>
            <w:lang w:val="en-US"/>
          </w:rPr>
          <w:t>Student Placement and Projects Policy 2015</w:t>
        </w:r>
      </w:hyperlink>
    </w:p>
    <w:p w14:paraId="22FC0CF3" w14:textId="77777777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7" w:tgtFrame="_blank" w:history="1">
        <w:r w:rsidR="00992A42" w:rsidRPr="00AC5C90">
          <w:rPr>
            <w:rStyle w:val="Hyperlink"/>
            <w:iCs/>
            <w:lang w:val="en-US"/>
          </w:rPr>
          <w:t>Higher Degree by Research Internship Procedures 2018</w:t>
        </w:r>
      </w:hyperlink>
    </w:p>
    <w:p w14:paraId="3A89916E" w14:textId="77777777" w:rsidR="00992A42" w:rsidRPr="00AC5C90" w:rsidRDefault="00D67579" w:rsidP="00AC5C90">
      <w:pPr>
        <w:pStyle w:val="ListParagraph"/>
        <w:numPr>
          <w:ilvl w:val="0"/>
          <w:numId w:val="34"/>
        </w:numPr>
        <w:rPr>
          <w:iCs/>
          <w:lang w:val="en-US"/>
        </w:rPr>
      </w:pPr>
      <w:hyperlink r:id="rId18" w:tgtFrame="_blank" w:history="1">
        <w:r w:rsidR="00992A42" w:rsidRPr="00AC5C90">
          <w:rPr>
            <w:rStyle w:val="Hyperlink"/>
            <w:iCs/>
            <w:lang w:val="en-US"/>
          </w:rPr>
          <w:t>Postgraduate Research Support Scheme Procedures 2019</w:t>
        </w:r>
      </w:hyperlink>
    </w:p>
    <w:p w14:paraId="4A9D09EB" w14:textId="0ACC08CA" w:rsidR="00992A42" w:rsidRPr="00992A42" w:rsidRDefault="00992A42" w:rsidP="00992A42">
      <w:pPr>
        <w:rPr>
          <w:lang w:val="en-US"/>
        </w:rPr>
      </w:pPr>
      <w:r w:rsidRPr="00992A42">
        <w:rPr>
          <w:lang w:val="en-US"/>
        </w:rPr>
        <w:t xml:space="preserve">For a complete list of all University policies and procedures search the </w:t>
      </w:r>
      <w:hyperlink r:id="rId19" w:history="1">
        <w:r w:rsidRPr="00992A42">
          <w:rPr>
            <w:rStyle w:val="Hyperlink"/>
            <w:lang w:val="en-US"/>
          </w:rPr>
          <w:t>University Policy Register</w:t>
        </w:r>
      </w:hyperlink>
      <w:r w:rsidR="009C6761">
        <w:rPr>
          <w:lang w:val="en-US"/>
        </w:rPr>
        <w:t>.</w:t>
      </w:r>
    </w:p>
    <w:p w14:paraId="0B9A0A34" w14:textId="77777777" w:rsidR="00992A42" w:rsidRPr="00BB587B" w:rsidRDefault="00992A42" w:rsidP="00BB587B">
      <w:pPr>
        <w:rPr>
          <w:lang w:val="en-US"/>
        </w:rPr>
      </w:pPr>
    </w:p>
    <w:sectPr w:rsidR="00992A42" w:rsidRPr="00BB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F5E9E"/>
    <w:multiLevelType w:val="hybridMultilevel"/>
    <w:tmpl w:val="265AB6AA"/>
    <w:styleLink w:val="ImportedStyle15"/>
    <w:lvl w:ilvl="0" w:tplc="3E7C6B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C6FA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0D29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8184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0BB8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E191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85B4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CC18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ECD1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7EE0"/>
    <w:multiLevelType w:val="hybridMultilevel"/>
    <w:tmpl w:val="4136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41F7"/>
    <w:multiLevelType w:val="hybridMultilevel"/>
    <w:tmpl w:val="D85A7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A2543"/>
    <w:multiLevelType w:val="hybridMultilevel"/>
    <w:tmpl w:val="84ECF1E4"/>
    <w:numStyleLink w:val="ImportedStyle16"/>
  </w:abstractNum>
  <w:abstractNum w:abstractNumId="20" w15:restartNumberingAfterBreak="0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F06EE"/>
    <w:multiLevelType w:val="hybridMultilevel"/>
    <w:tmpl w:val="F4480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77D86"/>
    <w:multiLevelType w:val="hybridMultilevel"/>
    <w:tmpl w:val="86C269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FD28E7"/>
    <w:multiLevelType w:val="hybridMultilevel"/>
    <w:tmpl w:val="D58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4F0F"/>
    <w:multiLevelType w:val="hybridMultilevel"/>
    <w:tmpl w:val="84ECF1E4"/>
    <w:styleLink w:val="ImportedStyle16"/>
    <w:lvl w:ilvl="0" w:tplc="6F02F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4D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A28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2F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419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2EA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EF1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EC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C0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7A9661D"/>
    <w:multiLevelType w:val="hybridMultilevel"/>
    <w:tmpl w:val="265AB6AA"/>
    <w:numStyleLink w:val="ImportedStyle15"/>
  </w:abstractNum>
  <w:abstractNum w:abstractNumId="33" w15:restartNumberingAfterBreak="0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4"/>
  </w:num>
  <w:num w:numId="5">
    <w:abstractNumId w:val="23"/>
  </w:num>
  <w:num w:numId="6">
    <w:abstractNumId w:val="4"/>
  </w:num>
  <w:num w:numId="7">
    <w:abstractNumId w:val="17"/>
  </w:num>
  <w:num w:numId="8">
    <w:abstractNumId w:val="33"/>
  </w:num>
  <w:num w:numId="9">
    <w:abstractNumId w:val="3"/>
  </w:num>
  <w:num w:numId="10">
    <w:abstractNumId w:val="0"/>
  </w:num>
  <w:num w:numId="11">
    <w:abstractNumId w:val="6"/>
  </w:num>
  <w:num w:numId="12">
    <w:abstractNumId w:val="28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27"/>
  </w:num>
  <w:num w:numId="18">
    <w:abstractNumId w:val="22"/>
  </w:num>
  <w:num w:numId="19">
    <w:abstractNumId w:val="5"/>
  </w:num>
  <w:num w:numId="20">
    <w:abstractNumId w:val="7"/>
  </w:num>
  <w:num w:numId="21">
    <w:abstractNumId w:val="25"/>
  </w:num>
  <w:num w:numId="22">
    <w:abstractNumId w:val="14"/>
  </w:num>
  <w:num w:numId="23">
    <w:abstractNumId w:val="15"/>
  </w:num>
  <w:num w:numId="24">
    <w:abstractNumId w:val="1"/>
  </w:num>
  <w:num w:numId="25">
    <w:abstractNumId w:val="20"/>
  </w:num>
  <w:num w:numId="26">
    <w:abstractNumId w:val="2"/>
  </w:num>
  <w:num w:numId="27">
    <w:abstractNumId w:val="32"/>
  </w:num>
  <w:num w:numId="28">
    <w:abstractNumId w:val="31"/>
  </w:num>
  <w:num w:numId="29">
    <w:abstractNumId w:val="19"/>
  </w:num>
  <w:num w:numId="30">
    <w:abstractNumId w:val="8"/>
  </w:num>
  <w:num w:numId="31">
    <w:abstractNumId w:val="21"/>
  </w:num>
  <w:num w:numId="32">
    <w:abstractNumId w:val="30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22AF6"/>
    <w:rsid w:val="0002425A"/>
    <w:rsid w:val="000404AC"/>
    <w:rsid w:val="00064892"/>
    <w:rsid w:val="00067029"/>
    <w:rsid w:val="000F31A3"/>
    <w:rsid w:val="00104081"/>
    <w:rsid w:val="0012529A"/>
    <w:rsid w:val="00151115"/>
    <w:rsid w:val="00171D42"/>
    <w:rsid w:val="001760A4"/>
    <w:rsid w:val="00197993"/>
    <w:rsid w:val="001C460A"/>
    <w:rsid w:val="001D1082"/>
    <w:rsid w:val="001D14F1"/>
    <w:rsid w:val="001E09B4"/>
    <w:rsid w:val="00215A5C"/>
    <w:rsid w:val="002C3C63"/>
    <w:rsid w:val="002D5D79"/>
    <w:rsid w:val="002D7BC8"/>
    <w:rsid w:val="002F21D0"/>
    <w:rsid w:val="00324642"/>
    <w:rsid w:val="003848EF"/>
    <w:rsid w:val="003B4865"/>
    <w:rsid w:val="003C2BCD"/>
    <w:rsid w:val="003D5A87"/>
    <w:rsid w:val="003F48E6"/>
    <w:rsid w:val="00411B49"/>
    <w:rsid w:val="00456D31"/>
    <w:rsid w:val="004712D6"/>
    <w:rsid w:val="004772EC"/>
    <w:rsid w:val="0049616F"/>
    <w:rsid w:val="004E0782"/>
    <w:rsid w:val="004E7555"/>
    <w:rsid w:val="0051302E"/>
    <w:rsid w:val="00514D63"/>
    <w:rsid w:val="00516EE9"/>
    <w:rsid w:val="00546790"/>
    <w:rsid w:val="005717D5"/>
    <w:rsid w:val="005A2C42"/>
    <w:rsid w:val="005B36CB"/>
    <w:rsid w:val="005C428E"/>
    <w:rsid w:val="005C7455"/>
    <w:rsid w:val="005E63B8"/>
    <w:rsid w:val="006023D1"/>
    <w:rsid w:val="00653044"/>
    <w:rsid w:val="0065467C"/>
    <w:rsid w:val="00654B4C"/>
    <w:rsid w:val="00662723"/>
    <w:rsid w:val="00674BDE"/>
    <w:rsid w:val="006A1207"/>
    <w:rsid w:val="00706FA4"/>
    <w:rsid w:val="00761B79"/>
    <w:rsid w:val="007A712C"/>
    <w:rsid w:val="007A7E76"/>
    <w:rsid w:val="007B48CF"/>
    <w:rsid w:val="007C4E27"/>
    <w:rsid w:val="007D6DD5"/>
    <w:rsid w:val="00803951"/>
    <w:rsid w:val="0081019B"/>
    <w:rsid w:val="00846FC7"/>
    <w:rsid w:val="00881F66"/>
    <w:rsid w:val="008907EF"/>
    <w:rsid w:val="00892F0A"/>
    <w:rsid w:val="008955DF"/>
    <w:rsid w:val="008F75EE"/>
    <w:rsid w:val="00924551"/>
    <w:rsid w:val="00931EA8"/>
    <w:rsid w:val="00934815"/>
    <w:rsid w:val="00940E8D"/>
    <w:rsid w:val="00947255"/>
    <w:rsid w:val="00952F69"/>
    <w:rsid w:val="00965D39"/>
    <w:rsid w:val="00992A42"/>
    <w:rsid w:val="009B5927"/>
    <w:rsid w:val="009C176A"/>
    <w:rsid w:val="009C6761"/>
    <w:rsid w:val="00A26440"/>
    <w:rsid w:val="00A405E5"/>
    <w:rsid w:val="00A649F5"/>
    <w:rsid w:val="00A67782"/>
    <w:rsid w:val="00A7036F"/>
    <w:rsid w:val="00A72EF5"/>
    <w:rsid w:val="00A905CF"/>
    <w:rsid w:val="00A95D1A"/>
    <w:rsid w:val="00AB5BFB"/>
    <w:rsid w:val="00AC5C90"/>
    <w:rsid w:val="00AD0903"/>
    <w:rsid w:val="00B360B0"/>
    <w:rsid w:val="00B60103"/>
    <w:rsid w:val="00B77128"/>
    <w:rsid w:val="00BB587B"/>
    <w:rsid w:val="00BB723D"/>
    <w:rsid w:val="00BD27A3"/>
    <w:rsid w:val="00C24EE2"/>
    <w:rsid w:val="00C26486"/>
    <w:rsid w:val="00C339E9"/>
    <w:rsid w:val="00C642F2"/>
    <w:rsid w:val="00C7340C"/>
    <w:rsid w:val="00C772EF"/>
    <w:rsid w:val="00CB7095"/>
    <w:rsid w:val="00CC0259"/>
    <w:rsid w:val="00CC3F08"/>
    <w:rsid w:val="00CC5F7F"/>
    <w:rsid w:val="00CD30D8"/>
    <w:rsid w:val="00CE1777"/>
    <w:rsid w:val="00D12745"/>
    <w:rsid w:val="00D16312"/>
    <w:rsid w:val="00D4249A"/>
    <w:rsid w:val="00D4503F"/>
    <w:rsid w:val="00D50412"/>
    <w:rsid w:val="00D60418"/>
    <w:rsid w:val="00D6540A"/>
    <w:rsid w:val="00D67579"/>
    <w:rsid w:val="00D823BB"/>
    <w:rsid w:val="00DC0E59"/>
    <w:rsid w:val="00DD57AA"/>
    <w:rsid w:val="00E1360C"/>
    <w:rsid w:val="00E32D15"/>
    <w:rsid w:val="00E6055E"/>
    <w:rsid w:val="00E979E6"/>
    <w:rsid w:val="00F07E34"/>
    <w:rsid w:val="00F34B42"/>
    <w:rsid w:val="00F41035"/>
    <w:rsid w:val="00F5570B"/>
    <w:rsid w:val="00F6064E"/>
    <w:rsid w:val="00F74288"/>
    <w:rsid w:val="00F93B76"/>
    <w:rsid w:val="00FB72ED"/>
    <w:rsid w:val="00FD361F"/>
    <w:rsid w:val="00FF7194"/>
    <w:rsid w:val="04A489DB"/>
    <w:rsid w:val="05820714"/>
    <w:rsid w:val="05FE20B4"/>
    <w:rsid w:val="07EF245E"/>
    <w:rsid w:val="0EEBCA4C"/>
    <w:rsid w:val="14FAF584"/>
    <w:rsid w:val="181AFE04"/>
    <w:rsid w:val="18DBB060"/>
    <w:rsid w:val="1BC8F0AB"/>
    <w:rsid w:val="235D1EE3"/>
    <w:rsid w:val="2524B6BC"/>
    <w:rsid w:val="2592F3E4"/>
    <w:rsid w:val="2AA7454D"/>
    <w:rsid w:val="30248120"/>
    <w:rsid w:val="349F4558"/>
    <w:rsid w:val="35673C30"/>
    <w:rsid w:val="3B569FBC"/>
    <w:rsid w:val="46C70B69"/>
    <w:rsid w:val="4C4D9B88"/>
    <w:rsid w:val="5A100100"/>
    <w:rsid w:val="5DC848C1"/>
    <w:rsid w:val="5EA0DB2D"/>
    <w:rsid w:val="633867B9"/>
    <w:rsid w:val="69CEFA50"/>
    <w:rsid w:val="6AE6AE9E"/>
    <w:rsid w:val="762D7525"/>
    <w:rsid w:val="7AEFA797"/>
    <w:rsid w:val="7B629827"/>
    <w:rsid w:val="7BCD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51302E"/>
    <w:rPr>
      <w:color w:val="605E5C"/>
      <w:shd w:val="clear" w:color="auto" w:fill="E1DFDD"/>
    </w:rPr>
  </w:style>
  <w:style w:type="numbering" w:customStyle="1" w:styleId="ImportedStyle15">
    <w:name w:val="Imported Style 15"/>
    <w:rsid w:val="00BB587B"/>
    <w:pPr>
      <w:numPr>
        <w:numId w:val="26"/>
      </w:numPr>
    </w:pPr>
  </w:style>
  <w:style w:type="numbering" w:customStyle="1" w:styleId="ImportedStyle16">
    <w:name w:val="Imported Style 16"/>
    <w:rsid w:val="00BB587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policies/showdoc.aspx?recnum=PDOC2012/270&amp;RendNum=0" TargetMode="External"/><Relationship Id="rId13" Type="http://schemas.openxmlformats.org/officeDocument/2006/relationships/hyperlink" Target="http://sydney.edu.au/policies/showdoc.aspx?recnum=PDOC2020/504&amp;RendNum=0" TargetMode="External"/><Relationship Id="rId18" Type="http://schemas.openxmlformats.org/officeDocument/2006/relationships/hyperlink" Target="http://sydney.edu.au/policies/showdoc.aspx?recnum=PDOC2019/483&amp;RendNum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ydney.edu.au/policies/showdoc.aspx?recnum=PDOC2013/316&amp;RendNum=0" TargetMode="External"/><Relationship Id="rId17" Type="http://schemas.openxmlformats.org/officeDocument/2006/relationships/hyperlink" Target="http://sydney.edu.au/policies/showdoc.aspx?recnum=PDOC2018/479&amp;RendNum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ydney.edu.au/policies/showdoc.aspx?recnum=PDOC2015/405&amp;RendNum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ydney.edu.au/policies/showdoc.aspx?recnum=PDOC2011/226&amp;RendNum=0" TargetMode="External"/><Relationship Id="rId5" Type="http://schemas.openxmlformats.org/officeDocument/2006/relationships/styles" Target="styles.xml"/><Relationship Id="rId15" Type="http://schemas.openxmlformats.org/officeDocument/2006/relationships/hyperlink" Target="http://sydney.edu.au/policies/showdoc.aspx?recnum=PDOC2014/375&amp;RendNum=0" TargetMode="External"/><Relationship Id="rId10" Type="http://schemas.openxmlformats.org/officeDocument/2006/relationships/hyperlink" Target="http://sydney.edu.au/policies/showdoc.aspx?recnum=PDOC2015/402&amp;RendNum=0" TargetMode="External"/><Relationship Id="rId19" Type="http://schemas.openxmlformats.org/officeDocument/2006/relationships/hyperlink" Target="http://sydney.edu.au/polic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ydney.edu.au/policies/showdoc.aspx?recnum=PDOC2015/403&amp;RendNum=0" TargetMode="External"/><Relationship Id="rId14" Type="http://schemas.openxmlformats.org/officeDocument/2006/relationships/hyperlink" Target="http://sydney.edu.au/policies/showdoc.aspx?recnum=PDOC2014/374&amp;RendNu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6146E-6F49-434F-8B3B-7CF81E293D28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618a19-d759-4d55-8fc8-f2169b728ab3"/>
    <ds:schemaRef ds:uri="d3449ec8-0d29-422b-8712-686b8c425df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1820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SUPRA Sydney University Postgraduate</cp:lastModifiedBy>
  <cp:revision>2</cp:revision>
  <dcterms:created xsi:type="dcterms:W3CDTF">2020-07-15T00:56:00Z</dcterms:created>
  <dcterms:modified xsi:type="dcterms:W3CDTF">2020-07-15T00:56:00Z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