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616A" w14:textId="77777777" w:rsidR="00763E96" w:rsidRPr="00763E96" w:rsidRDefault="00763E96" w:rsidP="00763E96">
      <w:pPr>
        <w:pStyle w:val="Heading1"/>
      </w:pPr>
      <w:r w:rsidRPr="00763E96">
        <w:t xml:space="preserve">Tips for when things go </w:t>
      </w:r>
      <w:proofErr w:type="gramStart"/>
      <w:r w:rsidRPr="00763E96">
        <w:t>wrong</w:t>
      </w:r>
      <w:proofErr w:type="gramEnd"/>
      <w:r w:rsidRPr="00763E96">
        <w:t> </w:t>
      </w:r>
    </w:p>
    <w:p w14:paraId="0814F83A" w14:textId="77777777" w:rsidR="00763E96" w:rsidRPr="00763E96" w:rsidRDefault="00763E96" w:rsidP="00763E96">
      <w:pPr>
        <w:pStyle w:val="Heading2"/>
      </w:pPr>
      <w:r w:rsidRPr="00763E96">
        <w:t>1. Get professional advice first </w:t>
      </w:r>
    </w:p>
    <w:p w14:paraId="27837EF2" w14:textId="77777777" w:rsidR="00763E96" w:rsidRPr="00763E96" w:rsidRDefault="00763E96" w:rsidP="00763E96">
      <w:r w:rsidRPr="00763E96">
        <w:t xml:space="preserve">Get advice before responding to any important notifications from the University. We can provide accurate information and guidance so you can submit the best response. </w:t>
      </w:r>
      <w:r w:rsidRPr="00763E96">
        <w:rPr>
          <w:b/>
          <w:bCs/>
        </w:rPr>
        <w:t>Responding quickly will not affect the University’s decision.</w:t>
      </w:r>
      <w:r w:rsidRPr="00763E96">
        <w:t> </w:t>
      </w:r>
    </w:p>
    <w:p w14:paraId="7AA9D464" w14:textId="77777777" w:rsidR="00763E96" w:rsidRPr="00763E96" w:rsidRDefault="00763E96" w:rsidP="00763E96">
      <w:pPr>
        <w:pStyle w:val="Heading2"/>
      </w:pPr>
      <w:r w:rsidRPr="00763E96">
        <w:t>2. Be respectful </w:t>
      </w:r>
    </w:p>
    <w:p w14:paraId="6045EF4C" w14:textId="77777777" w:rsidR="00763E96" w:rsidRPr="00763E96" w:rsidRDefault="00763E96" w:rsidP="00763E96">
      <w:r w:rsidRPr="00763E96">
        <w:t xml:space="preserve">When communicating with staff in your faculty or the University, </w:t>
      </w:r>
      <w:r w:rsidRPr="00763E96">
        <w:rPr>
          <w:b/>
          <w:bCs/>
        </w:rPr>
        <w:t>always treat everyone with courtesy and respect.</w:t>
      </w:r>
      <w:r w:rsidRPr="00763E96">
        <w:t xml:space="preserve"> Keep your communication professional. In most cases staff are trying to be helpful. </w:t>
      </w:r>
    </w:p>
    <w:p w14:paraId="75FA10E5" w14:textId="77777777" w:rsidR="00763E96" w:rsidRPr="00763E96" w:rsidRDefault="00763E96" w:rsidP="00763E96">
      <w:pPr>
        <w:pStyle w:val="Heading2"/>
      </w:pPr>
      <w:r w:rsidRPr="00763E96">
        <w:t>3. Deal with problems early </w:t>
      </w:r>
    </w:p>
    <w:p w14:paraId="15671CAD" w14:textId="77777777" w:rsidR="00763E96" w:rsidRPr="00763E96" w:rsidRDefault="00763E96" w:rsidP="00763E96">
      <w:pPr>
        <w:rPr>
          <w:b/>
          <w:bCs/>
        </w:rPr>
      </w:pPr>
      <w:r w:rsidRPr="00763E96">
        <w:rPr>
          <w:b/>
          <w:bCs/>
        </w:rPr>
        <w:t>Your problem may get worse if you ignore it.  </w:t>
      </w:r>
    </w:p>
    <w:p w14:paraId="2FC3D983" w14:textId="75A6AA61" w:rsidR="00763E96" w:rsidRPr="00763E96" w:rsidRDefault="00763E96" w:rsidP="00763E96">
      <w:pPr>
        <w:pStyle w:val="Heading2"/>
      </w:pPr>
      <w:r w:rsidRPr="00763E96">
        <w:t>4. Do</w:t>
      </w:r>
      <w:r w:rsidR="002E127E">
        <w:t>n’</w:t>
      </w:r>
      <w:r w:rsidRPr="00763E96">
        <w:t xml:space="preserve">t disclose information </w:t>
      </w:r>
      <w:r w:rsidR="002E127E">
        <w:t>unless required</w:t>
      </w:r>
      <w:r w:rsidRPr="00763E96">
        <w:t> </w:t>
      </w:r>
    </w:p>
    <w:p w14:paraId="077C4711" w14:textId="70532153" w:rsidR="00763E96" w:rsidRPr="00763E96" w:rsidRDefault="00763E96" w:rsidP="00763E96">
      <w:r w:rsidRPr="00763E96">
        <w:t>You</w:t>
      </w:r>
      <w:r w:rsidR="002E127E">
        <w:t>’</w:t>
      </w:r>
      <w:r w:rsidRPr="00763E96">
        <w:t xml:space="preserve">re required to be truthful in your dealings with the University and the government. However, </w:t>
      </w:r>
      <w:r w:rsidRPr="00763E96">
        <w:rPr>
          <w:b/>
          <w:bCs/>
        </w:rPr>
        <w:t>you are not required to give information that is personal and not</w:t>
      </w:r>
      <w:r w:rsidR="002E127E">
        <w:rPr>
          <w:b/>
          <w:bCs/>
        </w:rPr>
        <w:t xml:space="preserve"> relevant</w:t>
      </w:r>
      <w:r w:rsidRPr="00763E96">
        <w:rPr>
          <w:b/>
          <w:bCs/>
        </w:rPr>
        <w:t>.</w:t>
      </w:r>
      <w:r w:rsidRPr="00763E96">
        <w:t xml:space="preserve"> If you are</w:t>
      </w:r>
      <w:r w:rsidR="002E127E">
        <w:t>n’</w:t>
      </w:r>
      <w:r w:rsidRPr="00763E96">
        <w:t xml:space="preserve">t sure what to disclose, </w:t>
      </w:r>
      <w:hyperlink r:id="rId5" w:tgtFrame="_blank" w:history="1">
        <w:r w:rsidRPr="00763E96">
          <w:rPr>
            <w:rStyle w:val="Hyperlink"/>
          </w:rPr>
          <w:t>get advice</w:t>
        </w:r>
      </w:hyperlink>
      <w:r w:rsidRPr="00763E96">
        <w:t xml:space="preserve"> from us first. </w:t>
      </w:r>
    </w:p>
    <w:p w14:paraId="45BF0DCC" w14:textId="77777777" w:rsidR="00763E96" w:rsidRPr="00763E96" w:rsidRDefault="00763E96" w:rsidP="00763E96">
      <w:pPr>
        <w:pStyle w:val="Heading2"/>
      </w:pPr>
      <w:r w:rsidRPr="00763E96">
        <w:t>5. Keep all relevant documentation </w:t>
      </w:r>
    </w:p>
    <w:p w14:paraId="4D8134E8" w14:textId="6F1922AB" w:rsidR="00763E96" w:rsidRPr="00763E96" w:rsidRDefault="00763E96" w:rsidP="00763E96">
      <w:r w:rsidRPr="00763E96">
        <w:rPr>
          <w:b/>
          <w:bCs/>
        </w:rPr>
        <w:t>Do</w:t>
      </w:r>
      <w:r w:rsidR="002E127E">
        <w:rPr>
          <w:b/>
          <w:bCs/>
        </w:rPr>
        <w:t>n’</w:t>
      </w:r>
      <w:r w:rsidRPr="00763E96">
        <w:rPr>
          <w:b/>
          <w:bCs/>
        </w:rPr>
        <w:t>t delete your emails or other University</w:t>
      </w:r>
      <w:r w:rsidR="002E127E">
        <w:rPr>
          <w:b/>
          <w:bCs/>
        </w:rPr>
        <w:t>-</w:t>
      </w:r>
      <w:r w:rsidRPr="00763E96">
        <w:rPr>
          <w:b/>
          <w:bCs/>
        </w:rPr>
        <w:t>related files</w:t>
      </w:r>
      <w:r w:rsidR="002E127E">
        <w:rPr>
          <w:b/>
          <w:bCs/>
        </w:rPr>
        <w:t>.</w:t>
      </w:r>
      <w:r w:rsidRPr="00763E96">
        <w:t xml:space="preserve"> </w:t>
      </w:r>
      <w:r w:rsidR="002E127E">
        <w:t>Create backups</w:t>
      </w:r>
      <w:r w:rsidRPr="00763E96">
        <w:t xml:space="preserve"> </w:t>
      </w:r>
      <w:r w:rsidR="002E127E">
        <w:t>in case you lose access to the originals</w:t>
      </w:r>
      <w:r w:rsidRPr="00763E96">
        <w:t>. In any dispute or University procedure, being able to provide written evidence is very important.  </w:t>
      </w:r>
    </w:p>
    <w:p w14:paraId="70D79466" w14:textId="77777777" w:rsidR="00763E96" w:rsidRPr="00763E96" w:rsidRDefault="00763E96" w:rsidP="00763E96">
      <w:pPr>
        <w:pStyle w:val="Heading2"/>
      </w:pPr>
      <w:r w:rsidRPr="00763E96">
        <w:t>6. Know your rights </w:t>
      </w:r>
    </w:p>
    <w:p w14:paraId="19651161" w14:textId="0B961F24" w:rsidR="00763E96" w:rsidRPr="00763E96" w:rsidRDefault="00763E96" w:rsidP="00763E96">
      <w:r w:rsidRPr="00763E96">
        <w:rPr>
          <w:b/>
          <w:bCs/>
        </w:rPr>
        <w:t>You are entitled to procedural fairness</w:t>
      </w:r>
      <w:r w:rsidRPr="00763E96">
        <w:t xml:space="preserve"> in all your dealings with the University, the government, and other external bodies. </w:t>
      </w:r>
      <w:r w:rsidR="002E127E">
        <w:t>Students</w:t>
      </w:r>
      <w:r w:rsidRPr="00763E96">
        <w:t xml:space="preserve"> have rights that are written in </w:t>
      </w:r>
      <w:proofErr w:type="gramStart"/>
      <w:r w:rsidRPr="00763E96">
        <w:t>University</w:t>
      </w:r>
      <w:proofErr w:type="gramEnd"/>
      <w:r w:rsidRPr="00763E96">
        <w:t xml:space="preserve"> </w:t>
      </w:r>
      <w:r w:rsidRPr="00763E96">
        <w:lastRenderedPageBreak/>
        <w:t xml:space="preserve">policies and procedures, as well as under federal and state laws. The </w:t>
      </w:r>
      <w:hyperlink r:id="rId6" w:tgtFrame="_blank" w:history="1">
        <w:r w:rsidRPr="00763E96">
          <w:rPr>
            <w:rStyle w:val="Hyperlink"/>
          </w:rPr>
          <w:t>Student Charter 2010</w:t>
        </w:r>
      </w:hyperlink>
      <w:r w:rsidR="00DE1738">
        <w:rPr>
          <w:rStyle w:val="Hyperlink"/>
        </w:rPr>
        <w:t xml:space="preserve"> </w:t>
      </w:r>
      <w:r w:rsidRPr="00763E96">
        <w:t>outlines the reciprocal relationship between the University and students. </w:t>
      </w:r>
    </w:p>
    <w:p w14:paraId="55588789" w14:textId="77777777" w:rsidR="00763E96" w:rsidRPr="00763E96" w:rsidRDefault="00000000" w:rsidP="00763E96">
      <w:hyperlink r:id="rId7" w:tgtFrame="_blank" w:history="1">
        <w:r w:rsidR="00763E96" w:rsidRPr="00763E96">
          <w:rPr>
            <w:rStyle w:val="Hyperlink"/>
          </w:rPr>
          <w:t>Contact us</w:t>
        </w:r>
      </w:hyperlink>
      <w:r w:rsidR="00763E96" w:rsidRPr="00763E96">
        <w:t xml:space="preserve"> for more information about your rights.  </w:t>
      </w:r>
    </w:p>
    <w:p w14:paraId="40546FAE" w14:textId="77777777" w:rsidR="00763E96" w:rsidRPr="00763E96" w:rsidRDefault="00763E96" w:rsidP="00763E96">
      <w:pPr>
        <w:rPr>
          <w:lang w:val="en-US"/>
        </w:rPr>
      </w:pPr>
      <w:r w:rsidRPr="00763E96">
        <w:t> </w:t>
      </w:r>
    </w:p>
    <w:p w14:paraId="024D490C" w14:textId="77777777" w:rsidR="00763E96" w:rsidRPr="00763E96" w:rsidRDefault="00763E96" w:rsidP="00763E96">
      <w:r w:rsidRPr="00763E96">
        <w:t>Written by SUPRA Postgraduate Advocacy Service March 2023 </w:t>
      </w:r>
    </w:p>
    <w:p w14:paraId="24C9823A" w14:textId="77777777" w:rsidR="00162264" w:rsidRPr="00763E96" w:rsidRDefault="00162264" w:rsidP="00763E96"/>
    <w:sectPr w:rsidR="00162264" w:rsidRPr="00763E96" w:rsidSect="00BD51A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B6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685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C9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D66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2E4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0E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C06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2B6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EA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BA0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9028985">
    <w:abstractNumId w:val="0"/>
  </w:num>
  <w:num w:numId="2" w16cid:durableId="1649164845">
    <w:abstractNumId w:val="1"/>
  </w:num>
  <w:num w:numId="3" w16cid:durableId="1573465663">
    <w:abstractNumId w:val="2"/>
  </w:num>
  <w:num w:numId="4" w16cid:durableId="69279271">
    <w:abstractNumId w:val="3"/>
  </w:num>
  <w:num w:numId="5" w16cid:durableId="1292711756">
    <w:abstractNumId w:val="8"/>
  </w:num>
  <w:num w:numId="6" w16cid:durableId="2015840892">
    <w:abstractNumId w:val="4"/>
  </w:num>
  <w:num w:numId="7" w16cid:durableId="452557590">
    <w:abstractNumId w:val="5"/>
  </w:num>
  <w:num w:numId="8" w16cid:durableId="940338148">
    <w:abstractNumId w:val="6"/>
  </w:num>
  <w:num w:numId="9" w16cid:durableId="714112685">
    <w:abstractNumId w:val="7"/>
  </w:num>
  <w:num w:numId="10" w16cid:durableId="134152408">
    <w:abstractNumId w:val="9"/>
  </w:num>
  <w:num w:numId="11" w16cid:durableId="443690184">
    <w:abstractNumId w:val="0"/>
  </w:num>
  <w:num w:numId="12" w16cid:durableId="2066878303">
    <w:abstractNumId w:val="1"/>
  </w:num>
  <w:num w:numId="13" w16cid:durableId="1585720035">
    <w:abstractNumId w:val="2"/>
  </w:num>
  <w:num w:numId="14" w16cid:durableId="1066612294">
    <w:abstractNumId w:val="4"/>
  </w:num>
  <w:num w:numId="15" w16cid:durableId="1642417198">
    <w:abstractNumId w:val="5"/>
  </w:num>
  <w:num w:numId="16" w16cid:durableId="664043500">
    <w:abstractNumId w:val="0"/>
  </w:num>
  <w:num w:numId="17" w16cid:durableId="1423835931">
    <w:abstractNumId w:val="1"/>
  </w:num>
  <w:num w:numId="18" w16cid:durableId="812140759">
    <w:abstractNumId w:val="2"/>
  </w:num>
  <w:num w:numId="19" w16cid:durableId="273557321">
    <w:abstractNumId w:val="4"/>
  </w:num>
  <w:num w:numId="20" w16cid:durableId="669723291">
    <w:abstractNumId w:val="5"/>
  </w:num>
  <w:num w:numId="21" w16cid:durableId="581140200">
    <w:abstractNumId w:val="0"/>
  </w:num>
  <w:num w:numId="22" w16cid:durableId="199632005">
    <w:abstractNumId w:val="1"/>
  </w:num>
  <w:num w:numId="23" w16cid:durableId="1614437026">
    <w:abstractNumId w:val="2"/>
  </w:num>
  <w:num w:numId="24" w16cid:durableId="927621633">
    <w:abstractNumId w:val="4"/>
  </w:num>
  <w:num w:numId="25" w16cid:durableId="216164923">
    <w:abstractNumId w:val="5"/>
  </w:num>
  <w:num w:numId="26" w16cid:durableId="709645045">
    <w:abstractNumId w:val="0"/>
  </w:num>
  <w:num w:numId="27" w16cid:durableId="353773586">
    <w:abstractNumId w:val="1"/>
  </w:num>
  <w:num w:numId="28" w16cid:durableId="1342121075">
    <w:abstractNumId w:val="2"/>
  </w:num>
  <w:num w:numId="29" w16cid:durableId="1363630723">
    <w:abstractNumId w:val="4"/>
  </w:num>
  <w:num w:numId="30" w16cid:durableId="1055856516">
    <w:abstractNumId w:val="5"/>
  </w:num>
  <w:num w:numId="31" w16cid:durableId="1934708287">
    <w:abstractNumId w:val="0"/>
  </w:num>
  <w:num w:numId="32" w16cid:durableId="461272074">
    <w:abstractNumId w:val="1"/>
  </w:num>
  <w:num w:numId="33" w16cid:durableId="850990124">
    <w:abstractNumId w:val="2"/>
  </w:num>
  <w:num w:numId="34" w16cid:durableId="726492351">
    <w:abstractNumId w:val="4"/>
  </w:num>
  <w:num w:numId="35" w16cid:durableId="1363626964">
    <w:abstractNumId w:val="5"/>
  </w:num>
  <w:num w:numId="36" w16cid:durableId="1799953896">
    <w:abstractNumId w:val="0"/>
  </w:num>
  <w:num w:numId="37" w16cid:durableId="1394620446">
    <w:abstractNumId w:val="1"/>
  </w:num>
  <w:num w:numId="38" w16cid:durableId="2084065999">
    <w:abstractNumId w:val="2"/>
  </w:num>
  <w:num w:numId="39" w16cid:durableId="1543981220">
    <w:abstractNumId w:val="4"/>
  </w:num>
  <w:num w:numId="40" w16cid:durableId="1768573690">
    <w:abstractNumId w:val="5"/>
  </w:num>
  <w:num w:numId="41" w16cid:durableId="988241430">
    <w:abstractNumId w:val="0"/>
  </w:num>
  <w:num w:numId="42" w16cid:durableId="120000728">
    <w:abstractNumId w:val="1"/>
  </w:num>
  <w:num w:numId="43" w16cid:durableId="1242567127">
    <w:abstractNumId w:val="2"/>
  </w:num>
  <w:num w:numId="44" w16cid:durableId="1462724650">
    <w:abstractNumId w:val="4"/>
  </w:num>
  <w:num w:numId="45" w16cid:durableId="2138988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96"/>
    <w:rsid w:val="00073663"/>
    <w:rsid w:val="000D0CC2"/>
    <w:rsid w:val="000E6523"/>
    <w:rsid w:val="00112FBD"/>
    <w:rsid w:val="00146F80"/>
    <w:rsid w:val="00151A27"/>
    <w:rsid w:val="00162264"/>
    <w:rsid w:val="001808FC"/>
    <w:rsid w:val="00185758"/>
    <w:rsid w:val="00202651"/>
    <w:rsid w:val="00267A91"/>
    <w:rsid w:val="00273D74"/>
    <w:rsid w:val="002A0EB0"/>
    <w:rsid w:val="002E127E"/>
    <w:rsid w:val="0041394E"/>
    <w:rsid w:val="005127BA"/>
    <w:rsid w:val="005A1945"/>
    <w:rsid w:val="005F4AE4"/>
    <w:rsid w:val="00763E96"/>
    <w:rsid w:val="0078430E"/>
    <w:rsid w:val="007A2FCD"/>
    <w:rsid w:val="007B4C3D"/>
    <w:rsid w:val="008021F2"/>
    <w:rsid w:val="008528C9"/>
    <w:rsid w:val="00A52C03"/>
    <w:rsid w:val="00A52FCD"/>
    <w:rsid w:val="00B009B7"/>
    <w:rsid w:val="00BB1945"/>
    <w:rsid w:val="00BD51AE"/>
    <w:rsid w:val="00C717FA"/>
    <w:rsid w:val="00D05512"/>
    <w:rsid w:val="00DC2B18"/>
    <w:rsid w:val="00DE1738"/>
    <w:rsid w:val="00E07F9C"/>
    <w:rsid w:val="00F05F67"/>
    <w:rsid w:val="00F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958C"/>
  <w15:chartTrackingRefBased/>
  <w15:docId w15:val="{867F3017-43A1-6247-9112-430743D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67"/>
    <w:pPr>
      <w:spacing w:line="360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4C3D"/>
    <w:pPr>
      <w:spacing w:before="600" w:after="960" w:line="240" w:lineRule="auto"/>
      <w:outlineLvl w:val="0"/>
    </w:pPr>
    <w:rPr>
      <w:rFonts w:asciiTheme="majorHAnsi" w:eastAsiaTheme="majorEastAsia" w:hAnsiTheme="majorHAnsi" w:cstheme="majorBidi"/>
      <w:b/>
      <w:bCs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3D"/>
    <w:pPr>
      <w:spacing w:before="320" w:line="240" w:lineRule="auto"/>
      <w:outlineLvl w:val="1"/>
    </w:pPr>
    <w:rPr>
      <w:rFonts w:asciiTheme="majorHAnsi" w:eastAsiaTheme="majorEastAsia" w:hAnsiTheme="majorHAnsi" w:cstheme="majorBidi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C3D"/>
    <w:pPr>
      <w:spacing w:before="320" w:line="240" w:lineRule="auto"/>
      <w:outlineLvl w:val="2"/>
    </w:pPr>
    <w:rPr>
      <w:rFonts w:asciiTheme="majorHAnsi" w:eastAsiaTheme="majorEastAsia" w:hAnsiTheme="majorHAnsi" w:cstheme="majorBidi"/>
      <w:bCs/>
      <w:i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C3D"/>
    <w:pPr>
      <w:spacing w:before="280" w:line="240" w:lineRule="auto"/>
      <w:outlineLvl w:val="3"/>
    </w:pPr>
    <w:rPr>
      <w:rFonts w:asciiTheme="majorHAnsi" w:eastAsiaTheme="majorEastAsia" w:hAnsiTheme="majorHAnsi" w:cstheme="majorBidi"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FCD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FCD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CD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CD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CD"/>
    <w:pPr>
      <w:spacing w:before="280" w:after="0"/>
      <w:outlineLvl w:val="8"/>
    </w:pPr>
    <w:rPr>
      <w:rFonts w:asciiTheme="majorHAnsi" w:eastAsiaTheme="majorEastAsia" w:hAnsiTheme="majorHAnsi" w:cstheme="majorBidi"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3D"/>
    <w:rPr>
      <w:rFonts w:asciiTheme="majorHAnsi" w:eastAsiaTheme="majorEastAsia" w:hAnsiTheme="majorHAnsi" w:cstheme="majorBidi"/>
      <w:b/>
      <w:bCs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4C3D"/>
    <w:rPr>
      <w:rFonts w:asciiTheme="majorHAnsi" w:eastAsiaTheme="majorEastAsia" w:hAnsiTheme="majorHAnsi" w:cstheme="majorBidi"/>
      <w:bCs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4C3D"/>
    <w:rPr>
      <w:rFonts w:asciiTheme="majorHAnsi" w:eastAsiaTheme="majorEastAsia" w:hAnsiTheme="majorHAnsi" w:cstheme="majorBidi"/>
      <w:bCs/>
      <w:i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4C3D"/>
    <w:rPr>
      <w:rFonts w:asciiTheme="majorHAnsi" w:eastAsiaTheme="majorEastAsia" w:hAnsiTheme="majorHAnsi" w:cstheme="majorBidi"/>
      <w:bCs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FCD"/>
    <w:rPr>
      <w:rFonts w:asciiTheme="majorHAnsi" w:eastAsiaTheme="majorEastAsia" w:hAnsiTheme="majorHAnsi" w:cstheme="majorBidi"/>
      <w:b/>
      <w:bCs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FCD"/>
    <w:rPr>
      <w:rFonts w:asciiTheme="majorHAnsi" w:eastAsiaTheme="majorEastAsia" w:hAnsiTheme="majorHAnsi" w:cstheme="majorBidi"/>
      <w:b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CD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CD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CD"/>
    <w:rPr>
      <w:rFonts w:asciiTheme="majorHAnsi" w:eastAsiaTheme="majorEastAsia" w:hAnsiTheme="majorHAnsi" w:cstheme="majorBidi"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A27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FC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FCD"/>
    <w:pPr>
      <w:spacing w:after="320"/>
      <w:jc w:val="right"/>
    </w:pPr>
    <w:rPr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2FCD"/>
    <w:rPr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51A27"/>
    <w:rPr>
      <w:b/>
      <w:bCs/>
      <w:spacing w:val="0"/>
    </w:rPr>
  </w:style>
  <w:style w:type="character" w:styleId="Emphasis">
    <w:name w:val="Emphasis"/>
    <w:uiPriority w:val="20"/>
    <w:qFormat/>
    <w:rsid w:val="00151A2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51A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1A27"/>
  </w:style>
  <w:style w:type="paragraph" w:styleId="ListParagraph">
    <w:name w:val="List Paragraph"/>
    <w:basedOn w:val="Normal"/>
    <w:uiPriority w:val="34"/>
    <w:qFormat/>
    <w:rsid w:val="00151A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1F2"/>
    <w:pPr>
      <w:spacing w:before="120" w:after="360"/>
      <w:ind w:left="340"/>
    </w:pPr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21F2"/>
    <w:rPr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A2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A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51A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51A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51A27"/>
    <w:rPr>
      <w:smallCaps/>
    </w:rPr>
  </w:style>
  <w:style w:type="character" w:styleId="IntenseReference">
    <w:name w:val="Intense Reference"/>
    <w:uiPriority w:val="32"/>
    <w:qFormat/>
    <w:rsid w:val="00151A27"/>
    <w:rPr>
      <w:b/>
      <w:bCs/>
      <w:smallCaps/>
      <w:color w:val="auto"/>
    </w:rPr>
  </w:style>
  <w:style w:type="character" w:styleId="BookTitle">
    <w:name w:val="Book Title"/>
    <w:uiPriority w:val="33"/>
    <w:qFormat/>
    <w:rsid w:val="00151A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A27"/>
    <w:pPr>
      <w:outlineLvl w:val="9"/>
    </w:pPr>
  </w:style>
  <w:style w:type="paragraph" w:customStyle="1" w:styleId="PersonalName">
    <w:name w:val="Personal Name"/>
    <w:basedOn w:val="Normal"/>
    <w:rsid w:val="007A2FCD"/>
    <w:pPr>
      <w:spacing w:line="240" w:lineRule="auto"/>
    </w:pPr>
    <w:rPr>
      <w:rFonts w:asciiTheme="majorHAnsi" w:eastAsiaTheme="majorEastAsia" w:hAnsiTheme="majorHAnsi" w:cstheme="majorBidi"/>
      <w:bCs/>
      <w:iCs/>
      <w:caps/>
      <w:color w:val="000000"/>
      <w:spacing w:val="10"/>
      <w:sz w:val="28"/>
      <w:szCs w:val="28"/>
    </w:rPr>
  </w:style>
  <w:style w:type="paragraph" w:styleId="ListBullet">
    <w:name w:val="List Bullet"/>
    <w:basedOn w:val="Normal"/>
    <w:uiPriority w:val="99"/>
    <w:unhideWhenUsed/>
    <w:rsid w:val="00273D74"/>
    <w:pPr>
      <w:numPr>
        <w:numId w:val="10"/>
      </w:numPr>
      <w:ind w:left="924" w:hanging="357"/>
      <w:contextualSpacing/>
    </w:pPr>
  </w:style>
  <w:style w:type="paragraph" w:styleId="ListBullet2">
    <w:name w:val="List Bullet 2"/>
    <w:basedOn w:val="Normal"/>
    <w:uiPriority w:val="99"/>
    <w:unhideWhenUsed/>
    <w:rsid w:val="00F05F6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F05F6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A52C03"/>
    <w:pPr>
      <w:numPr>
        <w:numId w:val="4"/>
      </w:numPr>
      <w:contextualSpacing/>
    </w:pPr>
  </w:style>
  <w:style w:type="paragraph" w:styleId="List2">
    <w:name w:val="List 2"/>
    <w:basedOn w:val="Normal"/>
    <w:uiPriority w:val="99"/>
    <w:unhideWhenUsed/>
    <w:rsid w:val="00A52C03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273D74"/>
    <w:pPr>
      <w:numPr>
        <w:numId w:val="5"/>
      </w:numPr>
      <w:ind w:left="924" w:hanging="357"/>
      <w:contextualSpacing/>
    </w:pPr>
  </w:style>
  <w:style w:type="paragraph" w:customStyle="1" w:styleId="Quoteheading">
    <w:name w:val="Quote heading"/>
    <w:basedOn w:val="Heading3"/>
    <w:qFormat/>
    <w:rsid w:val="007B4C3D"/>
    <w:pPr>
      <w:ind w:left="340"/>
    </w:pPr>
  </w:style>
  <w:style w:type="paragraph" w:styleId="Title">
    <w:name w:val="Title"/>
    <w:basedOn w:val="Normal"/>
    <w:next w:val="Normal"/>
    <w:link w:val="TitleChar"/>
    <w:uiPriority w:val="10"/>
    <w:qFormat/>
    <w:rsid w:val="007B4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76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3E96"/>
  </w:style>
  <w:style w:type="character" w:customStyle="1" w:styleId="eop">
    <w:name w:val="eop"/>
    <w:basedOn w:val="DefaultParagraphFont"/>
    <w:rsid w:val="0076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ra.net.au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dney.edu.au/policies/showdoc.aspx?recnum=PDOC2011/215&amp;RendNum=0" TargetMode="External"/><Relationship Id="rId5" Type="http://schemas.openxmlformats.org/officeDocument/2006/relationships/hyperlink" Target="http://supra.net.au/cont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upra/shared/Administration/Forms%20&amp;%20Templates/Publications%20templates/Advice%20article%20template/Advice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SUPRA">
      <a:dk1>
        <a:srgbClr val="000000"/>
      </a:dk1>
      <a:lt1>
        <a:srgbClr val="C7C3E2"/>
      </a:lt1>
      <a:dk2>
        <a:srgbClr val="FFFFFF"/>
      </a:dk2>
      <a:lt2>
        <a:srgbClr val="CBE7D3"/>
      </a:lt2>
      <a:accent1>
        <a:srgbClr val="00ADEF"/>
      </a:accent1>
      <a:accent2>
        <a:srgbClr val="EC008B"/>
      </a:accent2>
      <a:accent3>
        <a:srgbClr val="FFF100"/>
      </a:accent3>
      <a:accent4>
        <a:srgbClr val="2E3092"/>
      </a:accent4>
      <a:accent5>
        <a:srgbClr val="00A550"/>
      </a:accent5>
      <a:accent6>
        <a:srgbClr val="ED1C24"/>
      </a:accent6>
      <a:hlink>
        <a:srgbClr val="F0593F"/>
      </a:hlink>
      <a:folHlink>
        <a:srgbClr val="EF59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Advice article template.dotx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Davidson</dc:creator>
  <cp:keywords/>
  <dc:description/>
  <cp:lastModifiedBy>Sydney University Postgraduate</cp:lastModifiedBy>
  <cp:revision>2</cp:revision>
  <dcterms:created xsi:type="dcterms:W3CDTF">2024-03-13T04:50:00Z</dcterms:created>
  <dcterms:modified xsi:type="dcterms:W3CDTF">2024-03-13T04:50:00Z</dcterms:modified>
</cp:coreProperties>
</file>