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AA5D2" w14:textId="77777777" w:rsidR="00BE165B" w:rsidRDefault="00BE165B" w:rsidP="00BE165B">
      <w:pPr>
        <w:pStyle w:val="Heading1"/>
        <w:rPr>
          <w:rFonts w:eastAsia="Times New Roman"/>
          <w:lang w:eastAsia="en-GB"/>
        </w:rPr>
      </w:pPr>
      <w:r w:rsidRPr="00D37DB6">
        <w:rPr>
          <w:rFonts w:eastAsia="Times New Roman"/>
          <w:lang w:eastAsia="en-GB"/>
        </w:rPr>
        <w:t>The Voice to Parliament and the Constitution</w:t>
      </w:r>
    </w:p>
    <w:p w14:paraId="15B85B7C" w14:textId="77777777" w:rsidR="00BE165B" w:rsidRPr="00D37DB6" w:rsidRDefault="00BE165B" w:rsidP="00BE165B">
      <w:pPr>
        <w:rPr>
          <w:lang w:eastAsia="en-GB"/>
        </w:rPr>
      </w:pPr>
    </w:p>
    <w:p w14:paraId="5C9A50A1" w14:textId="77777777" w:rsidR="00BE165B" w:rsidRPr="00D37DB6" w:rsidRDefault="00BE165B" w:rsidP="00BE165B">
      <w:pPr>
        <w:spacing w:line="360" w:lineRule="auto"/>
        <w:rPr>
          <w:lang w:eastAsia="en-GB"/>
        </w:rPr>
      </w:pPr>
      <w:r w:rsidRPr="00D37DB6">
        <w:rPr>
          <w:lang w:eastAsia="en-GB"/>
        </w:rPr>
        <w:t>SUPRA recognises the diversity of Aboriginal and Torres Strait Islander Peoples. There are many differing views regarding the Voice to Parliament across Aboriginal and Torres Strait Islander communities. </w:t>
      </w:r>
    </w:p>
    <w:p w14:paraId="27140D40" w14:textId="77777777" w:rsidR="00BE165B" w:rsidRPr="00D37DB6" w:rsidRDefault="00BE165B" w:rsidP="00BE165B">
      <w:pPr>
        <w:spacing w:line="360" w:lineRule="auto"/>
        <w:rPr>
          <w:lang w:eastAsia="en-GB"/>
        </w:rPr>
      </w:pPr>
    </w:p>
    <w:p w14:paraId="474D2525" w14:textId="77777777" w:rsidR="00BE165B" w:rsidRPr="00D37DB6" w:rsidRDefault="00BE165B" w:rsidP="00BE165B">
      <w:pPr>
        <w:spacing w:line="360" w:lineRule="auto"/>
        <w:rPr>
          <w:lang w:eastAsia="en-GB"/>
        </w:rPr>
      </w:pPr>
      <w:r w:rsidRPr="00D37DB6">
        <w:rPr>
          <w:lang w:eastAsia="en-GB"/>
        </w:rPr>
        <w:t xml:space="preserve">SUPRA also recognises the importance of self-determination for Aboriginal and Torres Strait Islander Peoples. All societies, clubs, faculties and schools have a responsibility to ensure that Aboriginal and Torres Strait Islander Peoples are given meaningful opportunities to take part in the conversations that affect them </w:t>
      </w:r>
      <w:r>
        <w:rPr>
          <w:lang w:eastAsia="en-GB"/>
        </w:rPr>
        <w:t xml:space="preserve">– </w:t>
      </w:r>
      <w:r w:rsidRPr="00D37DB6">
        <w:rPr>
          <w:lang w:eastAsia="en-GB"/>
        </w:rPr>
        <w:t>‘</w:t>
      </w:r>
      <w:r>
        <w:rPr>
          <w:lang w:eastAsia="en-GB"/>
        </w:rPr>
        <w:t>N</w:t>
      </w:r>
      <w:r w:rsidRPr="00D37DB6">
        <w:rPr>
          <w:lang w:eastAsia="en-GB"/>
        </w:rPr>
        <w:t xml:space="preserve">o conversations about us without </w:t>
      </w:r>
      <w:proofErr w:type="gramStart"/>
      <w:r w:rsidRPr="00D37DB6">
        <w:rPr>
          <w:lang w:eastAsia="en-GB"/>
        </w:rPr>
        <w:t>us’</w:t>
      </w:r>
      <w:proofErr w:type="gramEnd"/>
      <w:r w:rsidRPr="00D37DB6">
        <w:rPr>
          <w:lang w:eastAsia="en-GB"/>
        </w:rPr>
        <w:t>. </w:t>
      </w:r>
    </w:p>
    <w:p w14:paraId="7596CE8F" w14:textId="77777777" w:rsidR="00BE165B" w:rsidRPr="00D37DB6" w:rsidRDefault="00BE165B" w:rsidP="00BE165B">
      <w:pPr>
        <w:spacing w:line="360" w:lineRule="auto"/>
        <w:rPr>
          <w:lang w:eastAsia="en-GB"/>
        </w:rPr>
      </w:pPr>
    </w:p>
    <w:p w14:paraId="357F4726" w14:textId="77777777" w:rsidR="00BE165B" w:rsidRPr="00D37DB6" w:rsidRDefault="00BE165B" w:rsidP="00BE165B">
      <w:pPr>
        <w:spacing w:line="360" w:lineRule="auto"/>
        <w:rPr>
          <w:lang w:eastAsia="en-GB"/>
        </w:rPr>
      </w:pPr>
      <w:r w:rsidRPr="00D37DB6">
        <w:rPr>
          <w:lang w:eastAsia="en-GB"/>
        </w:rPr>
        <w:t>A Voice to Parliament Referendum is practically centred around the amendment of the Constitution. Constitutional law is confusing even for experts. Here we attempt to unpack the racist sections of the Constitution and hopefully demystify it, with the aim that people can make more informed decisions at the upcoming referendum. </w:t>
      </w:r>
    </w:p>
    <w:p w14:paraId="6ED958BD" w14:textId="77777777" w:rsidR="00BE165B" w:rsidRPr="00D37DB6" w:rsidRDefault="00BE165B" w:rsidP="00BE165B">
      <w:pPr>
        <w:spacing w:line="360" w:lineRule="auto"/>
        <w:rPr>
          <w:lang w:eastAsia="en-GB"/>
        </w:rPr>
      </w:pPr>
    </w:p>
    <w:p w14:paraId="232E45FF" w14:textId="77777777" w:rsidR="00BE165B" w:rsidRPr="00D37DB6" w:rsidRDefault="00BE165B" w:rsidP="00BE165B">
      <w:pPr>
        <w:spacing w:line="360" w:lineRule="auto"/>
        <w:rPr>
          <w:lang w:eastAsia="en-GB"/>
        </w:rPr>
      </w:pPr>
      <w:r w:rsidRPr="00D37DB6">
        <w:rPr>
          <w:lang w:eastAsia="en-GB"/>
        </w:rPr>
        <w:t xml:space="preserve">First things first: the Australian Constitution mentions ‘race’ in </w:t>
      </w:r>
      <w:r w:rsidRPr="00D37DB6">
        <w:rPr>
          <w:i/>
          <w:iCs/>
          <w:lang w:eastAsia="en-GB"/>
        </w:rPr>
        <w:t>s. 25</w:t>
      </w:r>
      <w:r w:rsidRPr="00D37DB6">
        <w:rPr>
          <w:lang w:eastAsia="en-GB"/>
        </w:rPr>
        <w:t xml:space="preserve"> and </w:t>
      </w:r>
      <w:r w:rsidRPr="00D37DB6">
        <w:rPr>
          <w:i/>
          <w:iCs/>
          <w:lang w:eastAsia="en-GB"/>
        </w:rPr>
        <w:t>s. 51(xxvi)</w:t>
      </w:r>
      <w:r w:rsidRPr="00D37DB6">
        <w:rPr>
          <w:lang w:eastAsia="en-GB"/>
        </w:rPr>
        <w:t>. Different human races do not exist. Period. The idea of race was developed to suit the British and European colonial project and the pursuit of resources. Racism exists now as a social phenomenon, experienced by First Nations Peoples and peoples of colour globally. Australia’s Constitution came into force on the 1st of January 1901, at the height of the White Australia policy. The dominant ideology of the time was centred around the false idea of ‘race and racism.’</w:t>
      </w:r>
    </w:p>
    <w:p w14:paraId="413FFA83" w14:textId="77777777" w:rsidR="00BE165B" w:rsidRPr="00D37DB6" w:rsidRDefault="00BE165B" w:rsidP="00BE165B">
      <w:pPr>
        <w:rPr>
          <w:lang w:eastAsia="en-GB"/>
        </w:rPr>
      </w:pPr>
      <w:r w:rsidRPr="00D37DB6">
        <w:rPr>
          <w:lang w:eastAsia="en-GB"/>
        </w:rPr>
        <w:tab/>
      </w:r>
      <w:r w:rsidRPr="00D37DB6">
        <w:rPr>
          <w:lang w:eastAsia="en-GB"/>
        </w:rPr>
        <w:tab/>
      </w:r>
      <w:r w:rsidRPr="00D37DB6">
        <w:rPr>
          <w:lang w:eastAsia="en-GB"/>
        </w:rPr>
        <w:tab/>
      </w:r>
      <w:r w:rsidRPr="00D37DB6">
        <w:rPr>
          <w:lang w:eastAsia="en-GB"/>
        </w:rPr>
        <w:tab/>
      </w:r>
      <w:r w:rsidRPr="00D37DB6">
        <w:rPr>
          <w:lang w:eastAsia="en-GB"/>
        </w:rPr>
        <w:tab/>
      </w:r>
    </w:p>
    <w:p w14:paraId="4E7A5A3E" w14:textId="77777777" w:rsidR="00BE165B" w:rsidRPr="00D37DB6" w:rsidRDefault="00BE165B" w:rsidP="00BE165B">
      <w:pPr>
        <w:pStyle w:val="Heading2"/>
        <w:rPr>
          <w:rFonts w:eastAsia="Times New Roman"/>
          <w:lang w:eastAsia="en-GB"/>
        </w:rPr>
      </w:pPr>
      <w:r w:rsidRPr="00D37DB6">
        <w:rPr>
          <w:rFonts w:eastAsia="Times New Roman"/>
          <w:lang w:eastAsia="en-GB"/>
        </w:rPr>
        <w:lastRenderedPageBreak/>
        <w:t xml:space="preserve">Constitutional amendments </w:t>
      </w:r>
      <w:r>
        <w:rPr>
          <w:rFonts w:eastAsia="Times New Roman"/>
          <w:lang w:eastAsia="en-GB"/>
        </w:rPr>
        <w:t>–</w:t>
      </w:r>
      <w:r w:rsidRPr="00D37DB6">
        <w:rPr>
          <w:rFonts w:eastAsia="Times New Roman"/>
          <w:lang w:eastAsia="en-GB"/>
        </w:rPr>
        <w:t xml:space="preserve"> removal of </w:t>
      </w:r>
      <w:r>
        <w:rPr>
          <w:rFonts w:eastAsia="Times New Roman"/>
          <w:lang w:eastAsia="en-GB"/>
        </w:rPr>
        <w:t xml:space="preserve">S </w:t>
      </w:r>
      <w:r w:rsidRPr="00D37DB6">
        <w:rPr>
          <w:rFonts w:eastAsia="Times New Roman"/>
          <w:lang w:eastAsia="en-GB"/>
        </w:rPr>
        <w:t xml:space="preserve">25 and </w:t>
      </w:r>
      <w:r>
        <w:rPr>
          <w:rFonts w:eastAsia="Times New Roman"/>
          <w:lang w:eastAsia="en-GB"/>
        </w:rPr>
        <w:t xml:space="preserve">S </w:t>
      </w:r>
      <w:r w:rsidRPr="00D37DB6">
        <w:rPr>
          <w:rFonts w:eastAsia="Times New Roman"/>
          <w:lang w:eastAsia="en-GB"/>
        </w:rPr>
        <w:t>51(xxvi)</w:t>
      </w:r>
    </w:p>
    <w:p w14:paraId="46E4D085" w14:textId="77777777" w:rsidR="00BE165B" w:rsidRPr="00D37DB6" w:rsidRDefault="00BE165B" w:rsidP="00BE165B">
      <w:pPr>
        <w:rPr>
          <w:lang w:eastAsia="en-GB"/>
        </w:rPr>
      </w:pPr>
    </w:p>
    <w:p w14:paraId="5320498B" w14:textId="77777777" w:rsidR="00BE165B" w:rsidRPr="00D37DB6" w:rsidRDefault="00BE165B" w:rsidP="00BE165B">
      <w:pPr>
        <w:spacing w:line="360" w:lineRule="auto"/>
        <w:rPr>
          <w:lang w:eastAsia="en-GB"/>
        </w:rPr>
      </w:pPr>
      <w:r w:rsidRPr="00D37DB6">
        <w:rPr>
          <w:lang w:eastAsia="en-GB"/>
        </w:rPr>
        <w:t xml:space="preserve">There has long been judicial recognition that </w:t>
      </w:r>
      <w:r w:rsidRPr="00D37DB6">
        <w:rPr>
          <w:i/>
          <w:iCs/>
          <w:lang w:eastAsia="en-GB"/>
        </w:rPr>
        <w:t>s. 25</w:t>
      </w:r>
      <w:r w:rsidRPr="00D37DB6">
        <w:rPr>
          <w:lang w:eastAsia="en-GB"/>
        </w:rPr>
        <w:t xml:space="preserve"> and </w:t>
      </w:r>
      <w:r w:rsidRPr="00D37DB6">
        <w:rPr>
          <w:i/>
          <w:iCs/>
          <w:lang w:eastAsia="en-GB"/>
        </w:rPr>
        <w:t>s. 51(xxvi)</w:t>
      </w:r>
      <w:r w:rsidRPr="00D37DB6">
        <w:rPr>
          <w:lang w:eastAsia="en-GB"/>
        </w:rPr>
        <w:t xml:space="preserve"> of the Constitution are representative of highly </w:t>
      </w:r>
      <w:proofErr w:type="spellStart"/>
      <w:r w:rsidRPr="00D37DB6">
        <w:rPr>
          <w:lang w:eastAsia="en-GB"/>
        </w:rPr>
        <w:t>raciali</w:t>
      </w:r>
      <w:r>
        <w:rPr>
          <w:lang w:eastAsia="en-GB"/>
        </w:rPr>
        <w:t>s</w:t>
      </w:r>
      <w:r w:rsidRPr="00D37DB6">
        <w:rPr>
          <w:lang w:eastAsia="en-GB"/>
        </w:rPr>
        <w:t>ed</w:t>
      </w:r>
      <w:proofErr w:type="spellEnd"/>
      <w:r w:rsidRPr="00D37DB6">
        <w:rPr>
          <w:lang w:eastAsia="en-GB"/>
        </w:rPr>
        <w:t xml:space="preserve"> and anachronistic powers.</w:t>
      </w:r>
    </w:p>
    <w:p w14:paraId="18B2416D" w14:textId="77777777" w:rsidR="00BE165B" w:rsidRPr="00D37DB6" w:rsidRDefault="00BE165B" w:rsidP="00BE165B">
      <w:pPr>
        <w:spacing w:line="360" w:lineRule="auto"/>
        <w:rPr>
          <w:lang w:eastAsia="en-GB"/>
        </w:rPr>
      </w:pPr>
      <w:r w:rsidRPr="00D37DB6">
        <w:rPr>
          <w:lang w:eastAsia="en-GB"/>
        </w:rPr>
        <w:tab/>
      </w:r>
      <w:r w:rsidRPr="00D37DB6">
        <w:rPr>
          <w:lang w:eastAsia="en-GB"/>
        </w:rPr>
        <w:tab/>
      </w:r>
      <w:r w:rsidRPr="00D37DB6">
        <w:rPr>
          <w:lang w:eastAsia="en-GB"/>
        </w:rPr>
        <w:tab/>
      </w:r>
      <w:r w:rsidRPr="00D37DB6">
        <w:rPr>
          <w:lang w:eastAsia="en-GB"/>
        </w:rPr>
        <w:tab/>
      </w:r>
      <w:r w:rsidRPr="00D37DB6">
        <w:rPr>
          <w:lang w:eastAsia="en-GB"/>
        </w:rPr>
        <w:tab/>
      </w:r>
    </w:p>
    <w:p w14:paraId="0984A39B" w14:textId="77777777" w:rsidR="00BE165B" w:rsidRDefault="00BE165B" w:rsidP="00BE165B">
      <w:pPr>
        <w:spacing w:line="360" w:lineRule="auto"/>
        <w:rPr>
          <w:lang w:eastAsia="en-GB"/>
        </w:rPr>
      </w:pPr>
      <w:r w:rsidRPr="00BE165B">
        <w:rPr>
          <w:b/>
          <w:bCs/>
          <w:lang w:eastAsia="en-GB"/>
        </w:rPr>
        <w:t>Section 25</w:t>
      </w:r>
      <w:r w:rsidRPr="00D37DB6">
        <w:rPr>
          <w:lang w:eastAsia="en-GB"/>
        </w:rPr>
        <w:t xml:space="preserve"> is entitled ‘Provision as to races disqualified from voting’, and provides that</w:t>
      </w:r>
      <w:r>
        <w:rPr>
          <w:lang w:eastAsia="en-GB"/>
        </w:rPr>
        <w:t>:</w:t>
      </w:r>
      <w:r w:rsidRPr="00D37DB6">
        <w:rPr>
          <w:lang w:eastAsia="en-GB"/>
        </w:rPr>
        <w:t xml:space="preserve"> </w:t>
      </w:r>
    </w:p>
    <w:p w14:paraId="40851CD8" w14:textId="77777777" w:rsidR="00BE165B" w:rsidRDefault="00BE165B" w:rsidP="00BE165B">
      <w:pPr>
        <w:rPr>
          <w:lang w:eastAsia="en-GB"/>
        </w:rPr>
      </w:pPr>
    </w:p>
    <w:p w14:paraId="4DB05266" w14:textId="77777777" w:rsidR="00BE165B" w:rsidRPr="00D37DB6" w:rsidRDefault="00BE165B" w:rsidP="00BE165B">
      <w:pPr>
        <w:pStyle w:val="Quote"/>
        <w:rPr>
          <w:rFonts w:eastAsia="Times New Roman"/>
          <w:lang w:eastAsia="en-GB"/>
        </w:rPr>
      </w:pPr>
      <w:r>
        <w:rPr>
          <w:rFonts w:eastAsia="Times New Roman"/>
          <w:lang w:eastAsia="en-GB"/>
        </w:rPr>
        <w:t>I</w:t>
      </w:r>
      <w:r w:rsidRPr="00D37DB6">
        <w:rPr>
          <w:rFonts w:eastAsia="Times New Roman"/>
          <w:lang w:eastAsia="en-GB"/>
        </w:rPr>
        <w:t>f by the law of any State all persons of any race are disqualified from voting at elections for the more numerous House of the Parliament of the State, then, in reckoning the number of the people of the State or of the Commonwealth, persons of that race resident in that State shall not be counted.</w:t>
      </w:r>
    </w:p>
    <w:p w14:paraId="0055FB49" w14:textId="77777777" w:rsidR="00BE165B" w:rsidRDefault="00BE165B" w:rsidP="00BE165B">
      <w:pPr>
        <w:rPr>
          <w:lang w:eastAsia="en-GB"/>
        </w:rPr>
      </w:pPr>
    </w:p>
    <w:p w14:paraId="7D95C607" w14:textId="77777777" w:rsidR="00BE165B" w:rsidRPr="00D37DB6" w:rsidRDefault="00BE165B" w:rsidP="00BE165B">
      <w:pPr>
        <w:spacing w:line="360" w:lineRule="auto"/>
        <w:rPr>
          <w:lang w:eastAsia="en-GB"/>
        </w:rPr>
      </w:pPr>
      <w:r w:rsidRPr="00D37DB6">
        <w:rPr>
          <w:lang w:eastAsia="en-GB"/>
        </w:rPr>
        <w:t xml:space="preserve">The provision impugns states which exclude all persons of a particular ‘race’ from voting at the state level, as that state will then receive less funding due to the resultant lower population count. However, as </w:t>
      </w:r>
      <w:proofErr w:type="spellStart"/>
      <w:r w:rsidRPr="00D37DB6">
        <w:rPr>
          <w:lang w:eastAsia="en-GB"/>
        </w:rPr>
        <w:t>Arcioni</w:t>
      </w:r>
      <w:proofErr w:type="spellEnd"/>
      <w:r w:rsidRPr="00D37DB6">
        <w:rPr>
          <w:lang w:eastAsia="en-GB"/>
        </w:rPr>
        <w:t xml:space="preserve"> (2012) argues, the symbolic potentiality of a state excluding a group from voting on the grounds of ‘race’ or ethnicity, is antithetical to contemporary Australian standards of equality and non-discrimination. The ability for a state to lawfully exclude Aboriginal and Torres Strait Islander Peoples (or any ethnic minority) from being included in the ‘number of people’ is racially discriminatory and in violation of basic human rights. </w:t>
      </w:r>
    </w:p>
    <w:p w14:paraId="75DB08AE" w14:textId="77777777" w:rsidR="00BE165B" w:rsidRPr="00D37DB6" w:rsidRDefault="00BE165B" w:rsidP="00BE165B">
      <w:pPr>
        <w:spacing w:line="360" w:lineRule="auto"/>
        <w:rPr>
          <w:lang w:eastAsia="en-GB"/>
        </w:rPr>
      </w:pPr>
      <w:r w:rsidRPr="00D37DB6">
        <w:rPr>
          <w:lang w:eastAsia="en-GB"/>
        </w:rPr>
        <w:tab/>
      </w:r>
      <w:r w:rsidRPr="00D37DB6">
        <w:rPr>
          <w:lang w:eastAsia="en-GB"/>
        </w:rPr>
        <w:tab/>
        <w:t xml:space="preserve"> </w:t>
      </w:r>
      <w:r w:rsidRPr="00D37DB6">
        <w:rPr>
          <w:lang w:eastAsia="en-GB"/>
        </w:rPr>
        <w:tab/>
        <w:t xml:space="preserve"> </w:t>
      </w:r>
      <w:r w:rsidRPr="00D37DB6">
        <w:rPr>
          <w:lang w:eastAsia="en-GB"/>
        </w:rPr>
        <w:tab/>
        <w:t xml:space="preserve"> </w:t>
      </w:r>
      <w:r w:rsidRPr="00D37DB6">
        <w:rPr>
          <w:lang w:eastAsia="en-GB"/>
        </w:rPr>
        <w:tab/>
      </w:r>
      <w:r w:rsidRPr="00D37DB6">
        <w:rPr>
          <w:lang w:eastAsia="en-GB"/>
        </w:rPr>
        <w:tab/>
      </w:r>
      <w:r w:rsidRPr="00D37DB6">
        <w:rPr>
          <w:lang w:eastAsia="en-GB"/>
        </w:rPr>
        <w:tab/>
      </w:r>
      <w:r w:rsidRPr="00D37DB6">
        <w:rPr>
          <w:lang w:eastAsia="en-GB"/>
        </w:rPr>
        <w:tab/>
      </w:r>
      <w:r w:rsidRPr="00D37DB6">
        <w:rPr>
          <w:lang w:eastAsia="en-GB"/>
        </w:rPr>
        <w:tab/>
      </w:r>
      <w:r w:rsidRPr="00D37DB6">
        <w:rPr>
          <w:lang w:eastAsia="en-GB"/>
        </w:rPr>
        <w:tab/>
      </w:r>
      <w:r w:rsidRPr="00D37DB6">
        <w:rPr>
          <w:lang w:eastAsia="en-GB"/>
        </w:rPr>
        <w:tab/>
      </w:r>
      <w:r w:rsidRPr="00D37DB6">
        <w:rPr>
          <w:lang w:eastAsia="en-GB"/>
        </w:rPr>
        <w:tab/>
      </w:r>
    </w:p>
    <w:p w14:paraId="6EE8F976" w14:textId="77777777" w:rsidR="00BE165B" w:rsidRPr="00D37DB6" w:rsidRDefault="00BE165B" w:rsidP="00BE165B">
      <w:pPr>
        <w:spacing w:line="360" w:lineRule="auto"/>
        <w:rPr>
          <w:lang w:eastAsia="en-GB"/>
        </w:rPr>
      </w:pPr>
      <w:r w:rsidRPr="00BE165B">
        <w:rPr>
          <w:b/>
          <w:bCs/>
          <w:lang w:eastAsia="en-GB"/>
        </w:rPr>
        <w:t>Removing Section 25</w:t>
      </w:r>
      <w:r w:rsidRPr="00D37DB6">
        <w:rPr>
          <w:lang w:eastAsia="en-GB"/>
        </w:rPr>
        <w:t xml:space="preserve"> has been described as the least controversial proposal (</w:t>
      </w:r>
      <w:proofErr w:type="spellStart"/>
      <w:r w:rsidRPr="00D37DB6">
        <w:rPr>
          <w:lang w:eastAsia="en-GB"/>
        </w:rPr>
        <w:t>Arcioni</w:t>
      </w:r>
      <w:proofErr w:type="spellEnd"/>
      <w:r w:rsidRPr="00D37DB6">
        <w:rPr>
          <w:lang w:eastAsia="en-GB"/>
        </w:rPr>
        <w:t xml:space="preserve"> 2012) presented by the 2012 </w:t>
      </w:r>
      <w:r w:rsidRPr="00D37DB6">
        <w:rPr>
          <w:i/>
          <w:iCs/>
          <w:lang w:eastAsia="en-GB"/>
        </w:rPr>
        <w:t>Expert Panel on Constitutional Recognition of Indigenous Australians</w:t>
      </w:r>
      <w:r w:rsidRPr="00D37DB6">
        <w:rPr>
          <w:lang w:eastAsia="en-GB"/>
        </w:rPr>
        <w:t>. Recommendations for it to be repealed have been made consistently since as early as 1959, with the Report from the Joint Committee on Constitutional Review noting that the appropriate action would be to repeal the section.</w:t>
      </w:r>
    </w:p>
    <w:p w14:paraId="7AB7269D" w14:textId="77777777" w:rsidR="00BE165B" w:rsidRPr="00D37DB6" w:rsidRDefault="00BE165B" w:rsidP="00BE165B">
      <w:pPr>
        <w:spacing w:line="360" w:lineRule="auto"/>
        <w:rPr>
          <w:lang w:eastAsia="en-GB"/>
        </w:rPr>
      </w:pPr>
      <w:r w:rsidRPr="00D37DB6">
        <w:rPr>
          <w:lang w:eastAsia="en-GB"/>
        </w:rPr>
        <w:tab/>
      </w:r>
      <w:r w:rsidRPr="00D37DB6">
        <w:rPr>
          <w:lang w:eastAsia="en-GB"/>
        </w:rPr>
        <w:tab/>
      </w:r>
      <w:r w:rsidRPr="00D37DB6">
        <w:rPr>
          <w:lang w:eastAsia="en-GB"/>
        </w:rPr>
        <w:tab/>
      </w:r>
      <w:r w:rsidRPr="00D37DB6">
        <w:rPr>
          <w:lang w:eastAsia="en-GB"/>
        </w:rPr>
        <w:tab/>
      </w:r>
      <w:r w:rsidRPr="00D37DB6">
        <w:rPr>
          <w:lang w:eastAsia="en-GB"/>
        </w:rPr>
        <w:tab/>
      </w:r>
    </w:p>
    <w:p w14:paraId="5F5153E3" w14:textId="77777777" w:rsidR="00BE165B" w:rsidRDefault="00BE165B" w:rsidP="00BE165B">
      <w:pPr>
        <w:spacing w:line="360" w:lineRule="auto"/>
        <w:rPr>
          <w:lang w:eastAsia="en-GB"/>
        </w:rPr>
      </w:pPr>
      <w:r w:rsidRPr="00BE165B">
        <w:rPr>
          <w:b/>
          <w:bCs/>
          <w:lang w:eastAsia="en-GB"/>
        </w:rPr>
        <w:lastRenderedPageBreak/>
        <w:t>Section 51(xxvi)</w:t>
      </w:r>
      <w:r w:rsidRPr="00D37DB6">
        <w:rPr>
          <w:lang w:eastAsia="en-GB"/>
        </w:rPr>
        <w:t xml:space="preserve"> falls under the constitutional powers of the Parliament, which states that</w:t>
      </w:r>
      <w:r>
        <w:rPr>
          <w:lang w:eastAsia="en-GB"/>
        </w:rPr>
        <w:t>:</w:t>
      </w:r>
    </w:p>
    <w:p w14:paraId="4E0C193C" w14:textId="77777777" w:rsidR="00BE165B" w:rsidRDefault="00BE165B" w:rsidP="00BE165B">
      <w:pPr>
        <w:rPr>
          <w:lang w:eastAsia="en-GB"/>
        </w:rPr>
      </w:pPr>
    </w:p>
    <w:p w14:paraId="4130F09B" w14:textId="77777777" w:rsidR="00BE165B" w:rsidRPr="00D37DB6" w:rsidRDefault="00BE165B" w:rsidP="00BE165B">
      <w:pPr>
        <w:pStyle w:val="Quote"/>
        <w:rPr>
          <w:rFonts w:eastAsia="Times New Roman"/>
          <w:lang w:eastAsia="en-GB"/>
        </w:rPr>
      </w:pPr>
      <w:r>
        <w:rPr>
          <w:rFonts w:eastAsia="Times New Roman"/>
          <w:lang w:eastAsia="en-GB"/>
        </w:rPr>
        <w:t>T</w:t>
      </w:r>
      <w:r w:rsidRPr="00D37DB6">
        <w:rPr>
          <w:rFonts w:eastAsia="Times New Roman"/>
          <w:lang w:eastAsia="en-GB"/>
        </w:rPr>
        <w:t>he Parliament shall, subject to this Constitution, have power to make laws for the peace, order, and good government of the Commonwealth with respect to</w:t>
      </w:r>
      <w:r>
        <w:rPr>
          <w:rFonts w:eastAsia="Times New Roman"/>
          <w:lang w:eastAsia="en-GB"/>
        </w:rPr>
        <w:t xml:space="preserve"> … </w:t>
      </w:r>
      <w:r w:rsidRPr="00D37DB6">
        <w:rPr>
          <w:rFonts w:eastAsia="Times New Roman"/>
          <w:lang w:eastAsia="en-GB"/>
        </w:rPr>
        <w:t>(</w:t>
      </w:r>
      <w:r w:rsidRPr="00D37DB6">
        <w:rPr>
          <w:rFonts w:eastAsia="Times New Roman"/>
          <w:i/>
          <w:iCs/>
          <w:lang w:eastAsia="en-GB"/>
        </w:rPr>
        <w:t>inter alia</w:t>
      </w:r>
      <w:r w:rsidRPr="00D37DB6">
        <w:rPr>
          <w:rFonts w:eastAsia="Times New Roman"/>
          <w:lang w:eastAsia="en-GB"/>
        </w:rPr>
        <w:t xml:space="preserve">) the people of any race, for whom it is deemed necessary to make laws. </w:t>
      </w:r>
      <w:r w:rsidRPr="00D37DB6">
        <w:rPr>
          <w:rFonts w:eastAsia="Times New Roman"/>
          <w:lang w:eastAsia="en-GB"/>
        </w:rPr>
        <w:tab/>
      </w:r>
      <w:r w:rsidRPr="00D37DB6">
        <w:rPr>
          <w:rFonts w:eastAsia="Times New Roman"/>
          <w:lang w:eastAsia="en-GB"/>
        </w:rPr>
        <w:tab/>
        <w:t xml:space="preserve"> </w:t>
      </w:r>
      <w:r w:rsidRPr="00D37DB6">
        <w:rPr>
          <w:rFonts w:eastAsia="Times New Roman"/>
          <w:lang w:eastAsia="en-GB"/>
        </w:rPr>
        <w:tab/>
        <w:t xml:space="preserve"> </w:t>
      </w:r>
      <w:r w:rsidRPr="00D37DB6">
        <w:rPr>
          <w:rFonts w:eastAsia="Times New Roman"/>
          <w:lang w:eastAsia="en-GB"/>
        </w:rPr>
        <w:tab/>
        <w:t xml:space="preserve"> </w:t>
      </w:r>
      <w:r w:rsidRPr="00D37DB6">
        <w:rPr>
          <w:rFonts w:eastAsia="Times New Roman"/>
          <w:lang w:eastAsia="en-GB"/>
        </w:rPr>
        <w:tab/>
      </w:r>
      <w:r w:rsidRPr="00D37DB6">
        <w:rPr>
          <w:rFonts w:eastAsia="Times New Roman"/>
          <w:lang w:eastAsia="en-GB"/>
        </w:rPr>
        <w:tab/>
      </w:r>
      <w:r w:rsidRPr="00D37DB6">
        <w:rPr>
          <w:rFonts w:eastAsia="Times New Roman"/>
          <w:lang w:eastAsia="en-GB"/>
        </w:rPr>
        <w:tab/>
      </w:r>
      <w:r w:rsidRPr="00D37DB6">
        <w:rPr>
          <w:rFonts w:eastAsia="Times New Roman"/>
          <w:lang w:eastAsia="en-GB"/>
        </w:rPr>
        <w:tab/>
      </w:r>
      <w:r w:rsidRPr="00D37DB6">
        <w:rPr>
          <w:rFonts w:eastAsia="Times New Roman"/>
          <w:lang w:eastAsia="en-GB"/>
        </w:rPr>
        <w:tab/>
      </w:r>
    </w:p>
    <w:p w14:paraId="61BACC94" w14:textId="77777777" w:rsidR="00BE165B" w:rsidRDefault="00BE165B" w:rsidP="00BE165B">
      <w:pPr>
        <w:rPr>
          <w:lang w:eastAsia="en-GB"/>
        </w:rPr>
      </w:pPr>
    </w:p>
    <w:p w14:paraId="0D8B5409" w14:textId="32EDA409" w:rsidR="00BE165B" w:rsidRPr="00D37DB6" w:rsidRDefault="00BE165B" w:rsidP="00BE165B">
      <w:pPr>
        <w:spacing w:line="360" w:lineRule="auto"/>
        <w:rPr>
          <w:lang w:eastAsia="en-GB"/>
        </w:rPr>
      </w:pPr>
      <w:r w:rsidRPr="00D37DB6">
        <w:rPr>
          <w:lang w:eastAsia="en-GB"/>
        </w:rPr>
        <w:t xml:space="preserve">Prior to the 1967 Referendum, this section did not apply to ‘the Aboriginal race’. Although the judicial argument has been put forward that the operation of this section should only apply to legislating for the benefit of Indigenous Australians (or other racial groups), this was rejected by the High Court in </w:t>
      </w:r>
      <w:proofErr w:type="spellStart"/>
      <w:r w:rsidRPr="00D37DB6">
        <w:rPr>
          <w:i/>
          <w:iCs/>
          <w:lang w:eastAsia="en-GB"/>
        </w:rPr>
        <w:t>Kartinyeri</w:t>
      </w:r>
      <w:proofErr w:type="spellEnd"/>
      <w:r w:rsidRPr="00D37DB6">
        <w:rPr>
          <w:i/>
          <w:iCs/>
          <w:lang w:eastAsia="en-GB"/>
        </w:rPr>
        <w:t xml:space="preserve"> v Commonwealth (1998)</w:t>
      </w:r>
      <w:r w:rsidRPr="00D37DB6">
        <w:rPr>
          <w:lang w:eastAsia="en-GB"/>
        </w:rPr>
        <w:t xml:space="preserve">, with a stricter constitutional interpretation preferred. </w:t>
      </w:r>
      <w:r w:rsidRPr="00BE165B">
        <w:rPr>
          <w:b/>
          <w:bCs/>
          <w:lang w:eastAsia="en-GB"/>
        </w:rPr>
        <w:t>Section 51(xxvi)</w:t>
      </w:r>
      <w:r w:rsidRPr="00D37DB6">
        <w:rPr>
          <w:lang w:eastAsia="en-GB"/>
        </w:rPr>
        <w:t xml:space="preserve"> allows the government to create legislation and policy for Aboriginal and Torres Strait Islander Peoples specifically. No other group or population in Australia is subject to this kind of targeted policy and legislation making. On this basis alone, Aboriginal and Torres Strait Islander Peoples have a democratic right to be represented in the policy and legislation making process. </w:t>
      </w:r>
    </w:p>
    <w:p w14:paraId="35239C0F" w14:textId="77777777" w:rsidR="00BE165B" w:rsidRPr="00D37DB6" w:rsidRDefault="00BE165B" w:rsidP="00BE165B">
      <w:pPr>
        <w:spacing w:line="360" w:lineRule="auto"/>
        <w:rPr>
          <w:lang w:eastAsia="en-GB"/>
        </w:rPr>
      </w:pPr>
    </w:p>
    <w:p w14:paraId="62491B7C" w14:textId="77777777" w:rsidR="00BE165B" w:rsidRDefault="00BE165B" w:rsidP="00BE165B">
      <w:pPr>
        <w:spacing w:line="360" w:lineRule="auto"/>
        <w:rPr>
          <w:lang w:eastAsia="en-GB"/>
        </w:rPr>
      </w:pPr>
      <w:r w:rsidRPr="00D37DB6">
        <w:rPr>
          <w:lang w:eastAsia="en-GB"/>
        </w:rPr>
        <w:t>The Voice to Parliament proposes that a preamble is inserted into the Constitution to allow a body or ‘Voice’ be made up of Aboriginal and Torres Strait Islander Peoples to provide timely feedback. The feedback is then tabled in Parliament on any legislation and policy that directly impacts Aboriginal and Torres Strait Islander Peoples. The feedback given does not have to be enforced but simply must be read in parliament. Whatever your views on the powers and details of the Uluru Statement and the Voice to Parliament, we at SUPRA encourage students to make informed decisions and to respect the diverse views of Aboriginal and Torres Strait Islander Peoples and communities. Let’s have these conversations safely.</w:t>
      </w:r>
    </w:p>
    <w:p w14:paraId="5B668A1D" w14:textId="6BEF9C39" w:rsidR="00162264" w:rsidRPr="00BE165B" w:rsidRDefault="00BE165B" w:rsidP="00BE165B">
      <w:pPr>
        <w:spacing w:line="360" w:lineRule="auto"/>
        <w:rPr>
          <w:lang w:eastAsia="en-GB"/>
        </w:rPr>
      </w:pPr>
      <w:r w:rsidRPr="00D37DB6">
        <w:rPr>
          <w:lang w:eastAsia="en-GB"/>
        </w:rPr>
        <w:lastRenderedPageBreak/>
        <w:t>SUPRA is proud to support all Aboriginal and Torres Strait Islander students and staff, no matter how they vote in the upcoming referendum.</w:t>
      </w:r>
    </w:p>
    <w:sectPr w:rsidR="00162264" w:rsidRPr="00BE165B" w:rsidSect="00A46E6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AC7A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6A0A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36B2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D66B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1863C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048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1C06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22B6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8EA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BA0622"/>
    <w:lvl w:ilvl="0">
      <w:start w:val="1"/>
      <w:numFmt w:val="bullet"/>
      <w:pStyle w:val="ListBullet"/>
      <w:lvlText w:val=""/>
      <w:lvlJc w:val="left"/>
      <w:pPr>
        <w:tabs>
          <w:tab w:val="num" w:pos="360"/>
        </w:tabs>
        <w:ind w:left="360" w:hanging="360"/>
      </w:pPr>
      <w:rPr>
        <w:rFonts w:ascii="Symbol" w:hAnsi="Symbol" w:hint="default"/>
      </w:rPr>
    </w:lvl>
  </w:abstractNum>
  <w:num w:numId="1" w16cid:durableId="1139028985">
    <w:abstractNumId w:val="0"/>
  </w:num>
  <w:num w:numId="2" w16cid:durableId="1649164845">
    <w:abstractNumId w:val="1"/>
  </w:num>
  <w:num w:numId="3" w16cid:durableId="1573465663">
    <w:abstractNumId w:val="2"/>
  </w:num>
  <w:num w:numId="4" w16cid:durableId="69279271">
    <w:abstractNumId w:val="3"/>
  </w:num>
  <w:num w:numId="5" w16cid:durableId="1292711756">
    <w:abstractNumId w:val="8"/>
  </w:num>
  <w:num w:numId="6" w16cid:durableId="2015840892">
    <w:abstractNumId w:val="4"/>
  </w:num>
  <w:num w:numId="7" w16cid:durableId="452557590">
    <w:abstractNumId w:val="5"/>
  </w:num>
  <w:num w:numId="8" w16cid:durableId="940338148">
    <w:abstractNumId w:val="6"/>
  </w:num>
  <w:num w:numId="9" w16cid:durableId="714112685">
    <w:abstractNumId w:val="7"/>
  </w:num>
  <w:num w:numId="10" w16cid:durableId="134152408">
    <w:abstractNumId w:val="9"/>
  </w:num>
  <w:num w:numId="11" w16cid:durableId="432088584">
    <w:abstractNumId w:val="0"/>
  </w:num>
  <w:num w:numId="12" w16cid:durableId="1198471438">
    <w:abstractNumId w:val="1"/>
  </w:num>
  <w:num w:numId="13" w16cid:durableId="637607933">
    <w:abstractNumId w:val="2"/>
  </w:num>
  <w:num w:numId="14" w16cid:durableId="1618365427">
    <w:abstractNumId w:val="4"/>
  </w:num>
  <w:num w:numId="15" w16cid:durableId="1109155754">
    <w:abstractNumId w:val="5"/>
  </w:num>
  <w:num w:numId="16" w16cid:durableId="481582231">
    <w:abstractNumId w:val="0"/>
  </w:num>
  <w:num w:numId="17" w16cid:durableId="355009887">
    <w:abstractNumId w:val="1"/>
  </w:num>
  <w:num w:numId="18" w16cid:durableId="427190839">
    <w:abstractNumId w:val="2"/>
  </w:num>
  <w:num w:numId="19" w16cid:durableId="1403479312">
    <w:abstractNumId w:val="4"/>
  </w:num>
  <w:num w:numId="20" w16cid:durableId="983124328">
    <w:abstractNumId w:val="5"/>
  </w:num>
  <w:num w:numId="21" w16cid:durableId="2090885807">
    <w:abstractNumId w:val="0"/>
  </w:num>
  <w:num w:numId="22" w16cid:durableId="1767263660">
    <w:abstractNumId w:val="1"/>
  </w:num>
  <w:num w:numId="23" w16cid:durableId="1439836322">
    <w:abstractNumId w:val="2"/>
  </w:num>
  <w:num w:numId="24" w16cid:durableId="1390614696">
    <w:abstractNumId w:val="4"/>
  </w:num>
  <w:num w:numId="25" w16cid:durableId="1481965944">
    <w:abstractNumId w:val="5"/>
  </w:num>
  <w:num w:numId="26" w16cid:durableId="1878929616">
    <w:abstractNumId w:val="0"/>
  </w:num>
  <w:num w:numId="27" w16cid:durableId="259265025">
    <w:abstractNumId w:val="2"/>
  </w:num>
  <w:num w:numId="28" w16cid:durableId="960962999">
    <w:abstractNumId w:val="0"/>
  </w:num>
  <w:num w:numId="29" w16cid:durableId="935135487">
    <w:abstractNumId w:val="1"/>
  </w:num>
  <w:num w:numId="30" w16cid:durableId="2076198691">
    <w:abstractNumId w:val="0"/>
  </w:num>
  <w:num w:numId="31" w16cid:durableId="1602445856">
    <w:abstractNumId w:val="1"/>
  </w:num>
  <w:num w:numId="32" w16cid:durableId="841965418">
    <w:abstractNumId w:val="2"/>
  </w:num>
  <w:num w:numId="33" w16cid:durableId="1338582741">
    <w:abstractNumId w:val="4"/>
  </w:num>
  <w:num w:numId="34" w16cid:durableId="1406952270">
    <w:abstractNumId w:val="5"/>
  </w:num>
  <w:num w:numId="35" w16cid:durableId="1619722495">
    <w:abstractNumId w:val="0"/>
  </w:num>
  <w:num w:numId="36" w16cid:durableId="1591694611">
    <w:abstractNumId w:val="1"/>
  </w:num>
  <w:num w:numId="37" w16cid:durableId="1984045731">
    <w:abstractNumId w:val="2"/>
  </w:num>
  <w:num w:numId="38" w16cid:durableId="580716357">
    <w:abstractNumId w:val="4"/>
  </w:num>
  <w:num w:numId="39" w16cid:durableId="13612043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65B"/>
    <w:rsid w:val="00073663"/>
    <w:rsid w:val="000D0CC2"/>
    <w:rsid w:val="000E6523"/>
    <w:rsid w:val="00112FBD"/>
    <w:rsid w:val="00146F80"/>
    <w:rsid w:val="00151A27"/>
    <w:rsid w:val="00162264"/>
    <w:rsid w:val="001808FC"/>
    <w:rsid w:val="00202651"/>
    <w:rsid w:val="00267A91"/>
    <w:rsid w:val="002A0EB0"/>
    <w:rsid w:val="0041394E"/>
    <w:rsid w:val="005127BA"/>
    <w:rsid w:val="005A1945"/>
    <w:rsid w:val="005F4AE4"/>
    <w:rsid w:val="0078430E"/>
    <w:rsid w:val="007A2FCD"/>
    <w:rsid w:val="007B4C3D"/>
    <w:rsid w:val="008021F2"/>
    <w:rsid w:val="008528C9"/>
    <w:rsid w:val="00A52C03"/>
    <w:rsid w:val="00A52FCD"/>
    <w:rsid w:val="00B009B7"/>
    <w:rsid w:val="00BB1945"/>
    <w:rsid w:val="00BE165B"/>
    <w:rsid w:val="00C717FA"/>
    <w:rsid w:val="00D05512"/>
    <w:rsid w:val="00DC2B18"/>
    <w:rsid w:val="00E07F9C"/>
    <w:rsid w:val="00F05F67"/>
    <w:rsid w:val="00F26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DFF7"/>
  <w15:chartTrackingRefBased/>
  <w15:docId w15:val="{E4268270-F32F-D840-A0FB-C44B027C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65B"/>
    <w:pPr>
      <w:spacing w:after="0" w:line="240" w:lineRule="auto"/>
      <w:ind w:firstLine="0"/>
    </w:pPr>
    <w:rPr>
      <w:rFonts w:eastAsiaTheme="minorHAnsi"/>
      <w:kern w:val="2"/>
      <w:sz w:val="24"/>
      <w:szCs w:val="24"/>
      <w14:ligatures w14:val="standardContextual"/>
    </w:rPr>
  </w:style>
  <w:style w:type="paragraph" w:styleId="Heading1">
    <w:name w:val="heading 1"/>
    <w:basedOn w:val="Normal"/>
    <w:next w:val="Normal"/>
    <w:link w:val="Heading1Char"/>
    <w:uiPriority w:val="9"/>
    <w:qFormat/>
    <w:rsid w:val="007B4C3D"/>
    <w:pPr>
      <w:spacing w:before="600" w:after="960"/>
      <w:outlineLvl w:val="0"/>
    </w:pPr>
    <w:rPr>
      <w:rFonts w:asciiTheme="majorHAnsi" w:eastAsiaTheme="majorEastAsia" w:hAnsiTheme="majorHAnsi" w:cstheme="majorBidi"/>
      <w:b/>
      <w:bCs/>
      <w:iCs/>
      <w:kern w:val="0"/>
      <w:sz w:val="48"/>
      <w:szCs w:val="32"/>
      <w14:ligatures w14:val="none"/>
    </w:rPr>
  </w:style>
  <w:style w:type="paragraph" w:styleId="Heading2">
    <w:name w:val="heading 2"/>
    <w:basedOn w:val="Normal"/>
    <w:next w:val="Normal"/>
    <w:link w:val="Heading2Char"/>
    <w:uiPriority w:val="9"/>
    <w:unhideWhenUsed/>
    <w:qFormat/>
    <w:rsid w:val="007B4C3D"/>
    <w:pPr>
      <w:spacing w:before="320" w:after="240"/>
      <w:outlineLvl w:val="1"/>
    </w:pPr>
    <w:rPr>
      <w:rFonts w:asciiTheme="majorHAnsi" w:eastAsiaTheme="majorEastAsia" w:hAnsiTheme="majorHAnsi" w:cstheme="majorBidi"/>
      <w:bCs/>
      <w:iCs/>
      <w:kern w:val="0"/>
      <w:sz w:val="40"/>
      <w:szCs w:val="28"/>
      <w14:ligatures w14:val="none"/>
    </w:rPr>
  </w:style>
  <w:style w:type="paragraph" w:styleId="Heading3">
    <w:name w:val="heading 3"/>
    <w:basedOn w:val="Normal"/>
    <w:next w:val="Normal"/>
    <w:link w:val="Heading3Char"/>
    <w:uiPriority w:val="9"/>
    <w:unhideWhenUsed/>
    <w:qFormat/>
    <w:rsid w:val="007B4C3D"/>
    <w:pPr>
      <w:spacing w:before="320" w:after="240"/>
      <w:outlineLvl w:val="2"/>
    </w:pPr>
    <w:rPr>
      <w:rFonts w:asciiTheme="majorHAnsi" w:eastAsiaTheme="majorEastAsia" w:hAnsiTheme="majorHAnsi" w:cstheme="majorBidi"/>
      <w:bCs/>
      <w:iCs/>
      <w:kern w:val="0"/>
      <w:sz w:val="32"/>
      <w:szCs w:val="26"/>
      <w14:ligatures w14:val="none"/>
    </w:rPr>
  </w:style>
  <w:style w:type="paragraph" w:styleId="Heading4">
    <w:name w:val="heading 4"/>
    <w:basedOn w:val="Normal"/>
    <w:next w:val="Normal"/>
    <w:link w:val="Heading4Char"/>
    <w:uiPriority w:val="9"/>
    <w:unhideWhenUsed/>
    <w:qFormat/>
    <w:rsid w:val="007B4C3D"/>
    <w:pPr>
      <w:spacing w:before="280" w:after="240"/>
      <w:outlineLvl w:val="3"/>
    </w:pPr>
    <w:rPr>
      <w:rFonts w:asciiTheme="majorHAnsi" w:eastAsiaTheme="majorEastAsia" w:hAnsiTheme="majorHAnsi" w:cstheme="majorBidi"/>
      <w:bCs/>
      <w:iCs/>
      <w:kern w:val="0"/>
      <w:sz w:val="28"/>
      <w14:ligatures w14:val="none"/>
    </w:rPr>
  </w:style>
  <w:style w:type="paragraph" w:styleId="Heading5">
    <w:name w:val="heading 5"/>
    <w:basedOn w:val="Normal"/>
    <w:next w:val="Normal"/>
    <w:link w:val="Heading5Char"/>
    <w:uiPriority w:val="9"/>
    <w:semiHidden/>
    <w:unhideWhenUsed/>
    <w:qFormat/>
    <w:rsid w:val="007A2FCD"/>
    <w:pPr>
      <w:spacing w:before="280" w:line="360" w:lineRule="auto"/>
      <w:outlineLvl w:val="4"/>
    </w:pPr>
    <w:rPr>
      <w:rFonts w:asciiTheme="majorHAnsi" w:eastAsiaTheme="majorEastAsia" w:hAnsiTheme="majorHAnsi" w:cstheme="majorBidi"/>
      <w:b/>
      <w:bCs/>
      <w:iCs/>
      <w:kern w:val="0"/>
      <w:sz w:val="22"/>
      <w:szCs w:val="22"/>
      <w14:ligatures w14:val="none"/>
    </w:rPr>
  </w:style>
  <w:style w:type="paragraph" w:styleId="Heading6">
    <w:name w:val="heading 6"/>
    <w:basedOn w:val="Normal"/>
    <w:next w:val="Normal"/>
    <w:link w:val="Heading6Char"/>
    <w:uiPriority w:val="9"/>
    <w:semiHidden/>
    <w:unhideWhenUsed/>
    <w:qFormat/>
    <w:rsid w:val="007A2FCD"/>
    <w:pPr>
      <w:spacing w:before="280" w:after="80" w:line="360" w:lineRule="auto"/>
      <w:outlineLvl w:val="5"/>
    </w:pPr>
    <w:rPr>
      <w:rFonts w:asciiTheme="majorHAnsi" w:eastAsiaTheme="majorEastAsia" w:hAnsiTheme="majorHAnsi" w:cstheme="majorBidi"/>
      <w:b/>
      <w:bCs/>
      <w:iCs/>
      <w:kern w:val="0"/>
      <w:sz w:val="22"/>
      <w:szCs w:val="22"/>
      <w14:ligatures w14:val="none"/>
    </w:rPr>
  </w:style>
  <w:style w:type="paragraph" w:styleId="Heading7">
    <w:name w:val="heading 7"/>
    <w:basedOn w:val="Normal"/>
    <w:next w:val="Normal"/>
    <w:link w:val="Heading7Char"/>
    <w:uiPriority w:val="9"/>
    <w:semiHidden/>
    <w:unhideWhenUsed/>
    <w:qFormat/>
    <w:rsid w:val="007A2FCD"/>
    <w:pPr>
      <w:spacing w:before="280" w:line="360" w:lineRule="auto"/>
      <w:outlineLvl w:val="6"/>
    </w:pPr>
    <w:rPr>
      <w:rFonts w:asciiTheme="majorHAnsi" w:eastAsiaTheme="majorEastAsia" w:hAnsiTheme="majorHAnsi" w:cstheme="majorBidi"/>
      <w:b/>
      <w:bCs/>
      <w:iCs/>
      <w:kern w:val="0"/>
      <w:sz w:val="20"/>
      <w:szCs w:val="20"/>
      <w14:ligatures w14:val="none"/>
    </w:rPr>
  </w:style>
  <w:style w:type="paragraph" w:styleId="Heading8">
    <w:name w:val="heading 8"/>
    <w:basedOn w:val="Normal"/>
    <w:next w:val="Normal"/>
    <w:link w:val="Heading8Char"/>
    <w:uiPriority w:val="9"/>
    <w:semiHidden/>
    <w:unhideWhenUsed/>
    <w:qFormat/>
    <w:rsid w:val="007A2FCD"/>
    <w:pPr>
      <w:spacing w:before="280" w:line="360" w:lineRule="auto"/>
      <w:outlineLvl w:val="7"/>
    </w:pPr>
    <w:rPr>
      <w:rFonts w:asciiTheme="majorHAnsi" w:eastAsiaTheme="majorEastAsia" w:hAnsiTheme="majorHAnsi" w:cstheme="majorBidi"/>
      <w:b/>
      <w:bCs/>
      <w:iCs/>
      <w:kern w:val="0"/>
      <w:sz w:val="18"/>
      <w:szCs w:val="18"/>
      <w14:ligatures w14:val="none"/>
    </w:rPr>
  </w:style>
  <w:style w:type="paragraph" w:styleId="Heading9">
    <w:name w:val="heading 9"/>
    <w:basedOn w:val="Normal"/>
    <w:next w:val="Normal"/>
    <w:link w:val="Heading9Char"/>
    <w:uiPriority w:val="9"/>
    <w:semiHidden/>
    <w:unhideWhenUsed/>
    <w:qFormat/>
    <w:rsid w:val="007A2FCD"/>
    <w:pPr>
      <w:spacing w:before="280" w:line="360" w:lineRule="auto"/>
      <w:outlineLvl w:val="8"/>
    </w:pPr>
    <w:rPr>
      <w:rFonts w:asciiTheme="majorHAnsi" w:eastAsiaTheme="majorEastAsia" w:hAnsiTheme="majorHAnsi" w:cstheme="majorBidi"/>
      <w:iCs/>
      <w:kern w:val="0"/>
      <w:sz w:val="18"/>
      <w:szCs w:val="1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C3D"/>
    <w:rPr>
      <w:rFonts w:asciiTheme="majorHAnsi" w:eastAsiaTheme="majorEastAsia" w:hAnsiTheme="majorHAnsi" w:cstheme="majorBidi"/>
      <w:b/>
      <w:bCs/>
      <w:iCs/>
      <w:sz w:val="48"/>
      <w:szCs w:val="32"/>
    </w:rPr>
  </w:style>
  <w:style w:type="character" w:customStyle="1" w:styleId="Heading2Char">
    <w:name w:val="Heading 2 Char"/>
    <w:basedOn w:val="DefaultParagraphFont"/>
    <w:link w:val="Heading2"/>
    <w:uiPriority w:val="9"/>
    <w:rsid w:val="007B4C3D"/>
    <w:rPr>
      <w:rFonts w:asciiTheme="majorHAnsi" w:eastAsiaTheme="majorEastAsia" w:hAnsiTheme="majorHAnsi" w:cstheme="majorBidi"/>
      <w:bCs/>
      <w:iCs/>
      <w:sz w:val="40"/>
      <w:szCs w:val="28"/>
    </w:rPr>
  </w:style>
  <w:style w:type="character" w:customStyle="1" w:styleId="Heading3Char">
    <w:name w:val="Heading 3 Char"/>
    <w:basedOn w:val="DefaultParagraphFont"/>
    <w:link w:val="Heading3"/>
    <w:uiPriority w:val="9"/>
    <w:rsid w:val="007B4C3D"/>
    <w:rPr>
      <w:rFonts w:asciiTheme="majorHAnsi" w:eastAsiaTheme="majorEastAsia" w:hAnsiTheme="majorHAnsi" w:cstheme="majorBidi"/>
      <w:bCs/>
      <w:iCs/>
      <w:sz w:val="32"/>
      <w:szCs w:val="26"/>
    </w:rPr>
  </w:style>
  <w:style w:type="character" w:customStyle="1" w:styleId="Heading4Char">
    <w:name w:val="Heading 4 Char"/>
    <w:basedOn w:val="DefaultParagraphFont"/>
    <w:link w:val="Heading4"/>
    <w:uiPriority w:val="9"/>
    <w:rsid w:val="007B4C3D"/>
    <w:rPr>
      <w:rFonts w:asciiTheme="majorHAnsi" w:eastAsiaTheme="majorEastAsia" w:hAnsiTheme="majorHAnsi" w:cstheme="majorBidi"/>
      <w:bCs/>
      <w:iCs/>
      <w:sz w:val="28"/>
      <w:szCs w:val="24"/>
    </w:rPr>
  </w:style>
  <w:style w:type="character" w:customStyle="1" w:styleId="Heading5Char">
    <w:name w:val="Heading 5 Char"/>
    <w:basedOn w:val="DefaultParagraphFont"/>
    <w:link w:val="Heading5"/>
    <w:uiPriority w:val="9"/>
    <w:semiHidden/>
    <w:rsid w:val="007A2FCD"/>
    <w:rPr>
      <w:rFonts w:asciiTheme="majorHAnsi" w:eastAsiaTheme="majorEastAsia" w:hAnsiTheme="majorHAnsi" w:cstheme="majorBidi"/>
      <w:b/>
      <w:bCs/>
      <w:iCs/>
    </w:rPr>
  </w:style>
  <w:style w:type="character" w:customStyle="1" w:styleId="Heading6Char">
    <w:name w:val="Heading 6 Char"/>
    <w:basedOn w:val="DefaultParagraphFont"/>
    <w:link w:val="Heading6"/>
    <w:uiPriority w:val="9"/>
    <w:semiHidden/>
    <w:rsid w:val="007A2FCD"/>
    <w:rPr>
      <w:rFonts w:asciiTheme="majorHAnsi" w:eastAsiaTheme="majorEastAsia" w:hAnsiTheme="majorHAnsi" w:cstheme="majorBidi"/>
      <w:b/>
      <w:bCs/>
      <w:iCs/>
    </w:rPr>
  </w:style>
  <w:style w:type="character" w:customStyle="1" w:styleId="Heading7Char">
    <w:name w:val="Heading 7 Char"/>
    <w:basedOn w:val="DefaultParagraphFont"/>
    <w:link w:val="Heading7"/>
    <w:uiPriority w:val="9"/>
    <w:semiHidden/>
    <w:rsid w:val="007A2FCD"/>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7A2FCD"/>
    <w:rPr>
      <w:rFonts w:asciiTheme="majorHAnsi" w:eastAsiaTheme="majorEastAsia" w:hAnsiTheme="majorHAnsi" w:cstheme="majorBidi"/>
      <w:b/>
      <w:bCs/>
      <w:iCs/>
      <w:sz w:val="18"/>
      <w:szCs w:val="18"/>
    </w:rPr>
  </w:style>
  <w:style w:type="character" w:customStyle="1" w:styleId="Heading9Char">
    <w:name w:val="Heading 9 Char"/>
    <w:basedOn w:val="DefaultParagraphFont"/>
    <w:link w:val="Heading9"/>
    <w:uiPriority w:val="9"/>
    <w:semiHidden/>
    <w:rsid w:val="007A2FCD"/>
    <w:rPr>
      <w:rFonts w:asciiTheme="majorHAnsi" w:eastAsiaTheme="majorEastAsia" w:hAnsiTheme="majorHAnsi" w:cstheme="majorBidi"/>
      <w:iCs/>
      <w:sz w:val="18"/>
      <w:szCs w:val="18"/>
    </w:rPr>
  </w:style>
  <w:style w:type="paragraph" w:styleId="Caption">
    <w:name w:val="caption"/>
    <w:basedOn w:val="Normal"/>
    <w:next w:val="Normal"/>
    <w:uiPriority w:val="35"/>
    <w:semiHidden/>
    <w:unhideWhenUsed/>
    <w:qFormat/>
    <w:rsid w:val="00151A27"/>
    <w:pPr>
      <w:spacing w:after="240" w:line="360" w:lineRule="auto"/>
    </w:pPr>
    <w:rPr>
      <w:rFonts w:eastAsiaTheme="minorEastAsia"/>
      <w:b/>
      <w:bCs/>
      <w:kern w:val="0"/>
      <w:sz w:val="18"/>
      <w:szCs w:val="18"/>
      <w14:ligatures w14:val="none"/>
    </w:rPr>
  </w:style>
  <w:style w:type="character" w:styleId="Hyperlink">
    <w:name w:val="Hyperlink"/>
    <w:basedOn w:val="DefaultParagraphFont"/>
    <w:uiPriority w:val="99"/>
    <w:unhideWhenUsed/>
    <w:rsid w:val="007A2FCD"/>
    <w:rPr>
      <w:color w:val="0000FF"/>
      <w:u w:val="single"/>
    </w:rPr>
  </w:style>
  <w:style w:type="paragraph" w:styleId="Subtitle">
    <w:name w:val="Subtitle"/>
    <w:basedOn w:val="Normal"/>
    <w:next w:val="Normal"/>
    <w:link w:val="SubtitleChar"/>
    <w:uiPriority w:val="11"/>
    <w:qFormat/>
    <w:rsid w:val="007A2FCD"/>
    <w:pPr>
      <w:spacing w:after="320" w:line="360" w:lineRule="auto"/>
      <w:jc w:val="right"/>
    </w:pPr>
    <w:rPr>
      <w:rFonts w:eastAsiaTheme="minorEastAsia"/>
      <w:iCs/>
      <w:color w:val="808080" w:themeColor="text1" w:themeTint="7F"/>
      <w:spacing w:val="10"/>
      <w:kern w:val="0"/>
      <w14:ligatures w14:val="none"/>
    </w:rPr>
  </w:style>
  <w:style w:type="character" w:customStyle="1" w:styleId="SubtitleChar">
    <w:name w:val="Subtitle Char"/>
    <w:basedOn w:val="DefaultParagraphFont"/>
    <w:link w:val="Subtitle"/>
    <w:uiPriority w:val="11"/>
    <w:rsid w:val="007A2FCD"/>
    <w:rPr>
      <w:iCs/>
      <w:color w:val="808080" w:themeColor="text1" w:themeTint="7F"/>
      <w:spacing w:val="10"/>
      <w:sz w:val="24"/>
      <w:szCs w:val="24"/>
    </w:rPr>
  </w:style>
  <w:style w:type="character" w:styleId="Strong">
    <w:name w:val="Strong"/>
    <w:basedOn w:val="DefaultParagraphFont"/>
    <w:uiPriority w:val="22"/>
    <w:qFormat/>
    <w:rsid w:val="00151A27"/>
    <w:rPr>
      <w:b/>
      <w:bCs/>
      <w:spacing w:val="0"/>
    </w:rPr>
  </w:style>
  <w:style w:type="character" w:styleId="Emphasis">
    <w:name w:val="Emphasis"/>
    <w:uiPriority w:val="20"/>
    <w:qFormat/>
    <w:rsid w:val="00151A27"/>
    <w:rPr>
      <w:b/>
      <w:bCs/>
      <w:i/>
      <w:iCs/>
      <w:color w:val="auto"/>
    </w:rPr>
  </w:style>
  <w:style w:type="paragraph" w:styleId="NoSpacing">
    <w:name w:val="No Spacing"/>
    <w:basedOn w:val="Normal"/>
    <w:link w:val="NoSpacingChar"/>
    <w:uiPriority w:val="1"/>
    <w:qFormat/>
    <w:rsid w:val="00151A27"/>
    <w:rPr>
      <w:rFonts w:eastAsiaTheme="minorEastAsia"/>
      <w:kern w:val="0"/>
      <w:sz w:val="22"/>
      <w:szCs w:val="22"/>
      <w14:ligatures w14:val="none"/>
    </w:rPr>
  </w:style>
  <w:style w:type="character" w:customStyle="1" w:styleId="NoSpacingChar">
    <w:name w:val="No Spacing Char"/>
    <w:basedOn w:val="DefaultParagraphFont"/>
    <w:link w:val="NoSpacing"/>
    <w:uiPriority w:val="1"/>
    <w:rsid w:val="00151A27"/>
  </w:style>
  <w:style w:type="paragraph" w:styleId="ListParagraph">
    <w:name w:val="List Paragraph"/>
    <w:basedOn w:val="Normal"/>
    <w:uiPriority w:val="34"/>
    <w:qFormat/>
    <w:rsid w:val="00151A27"/>
    <w:pPr>
      <w:spacing w:after="240" w:line="360" w:lineRule="auto"/>
      <w:ind w:left="720"/>
      <w:contextualSpacing/>
    </w:pPr>
    <w:rPr>
      <w:rFonts w:eastAsiaTheme="minorEastAsia"/>
      <w:kern w:val="0"/>
      <w:sz w:val="22"/>
      <w:szCs w:val="22"/>
      <w14:ligatures w14:val="none"/>
    </w:rPr>
  </w:style>
  <w:style w:type="paragraph" w:styleId="Quote">
    <w:name w:val="Quote"/>
    <w:basedOn w:val="Normal"/>
    <w:next w:val="Normal"/>
    <w:link w:val="QuoteChar"/>
    <w:uiPriority w:val="29"/>
    <w:qFormat/>
    <w:rsid w:val="008021F2"/>
    <w:pPr>
      <w:spacing w:before="120" w:after="360" w:line="360" w:lineRule="auto"/>
      <w:ind w:left="340"/>
    </w:pPr>
    <w:rPr>
      <w:rFonts w:eastAsiaTheme="minorEastAsia"/>
      <w:color w:val="000000" w:themeColor="text1"/>
      <w:kern w:val="0"/>
      <w:sz w:val="22"/>
      <w:szCs w:val="22"/>
      <w14:ligatures w14:val="none"/>
    </w:rPr>
  </w:style>
  <w:style w:type="character" w:customStyle="1" w:styleId="QuoteChar">
    <w:name w:val="Quote Char"/>
    <w:basedOn w:val="DefaultParagraphFont"/>
    <w:link w:val="Quote"/>
    <w:uiPriority w:val="29"/>
    <w:rsid w:val="008021F2"/>
    <w:rPr>
      <w:color w:val="000000" w:themeColor="text1"/>
    </w:rPr>
  </w:style>
  <w:style w:type="paragraph" w:styleId="IntenseQuote">
    <w:name w:val="Intense Quote"/>
    <w:basedOn w:val="Normal"/>
    <w:next w:val="Normal"/>
    <w:link w:val="IntenseQuoteChar"/>
    <w:uiPriority w:val="30"/>
    <w:qFormat/>
    <w:rsid w:val="00151A27"/>
    <w:pPr>
      <w:spacing w:before="320" w:after="480"/>
      <w:ind w:left="720" w:right="720"/>
      <w:jc w:val="center"/>
    </w:pPr>
    <w:rPr>
      <w:rFonts w:asciiTheme="majorHAnsi" w:eastAsiaTheme="majorEastAsia" w:hAnsiTheme="majorHAnsi" w:cstheme="majorBidi"/>
      <w:i/>
      <w:iCs/>
      <w:kern w:val="0"/>
      <w:sz w:val="20"/>
      <w:szCs w:val="20"/>
      <w14:ligatures w14:val="none"/>
    </w:rPr>
  </w:style>
  <w:style w:type="character" w:customStyle="1" w:styleId="IntenseQuoteChar">
    <w:name w:val="Intense Quote Char"/>
    <w:basedOn w:val="DefaultParagraphFont"/>
    <w:link w:val="IntenseQuote"/>
    <w:uiPriority w:val="30"/>
    <w:rsid w:val="00151A27"/>
    <w:rPr>
      <w:rFonts w:asciiTheme="majorHAnsi" w:eastAsiaTheme="majorEastAsia" w:hAnsiTheme="majorHAnsi" w:cstheme="majorBidi"/>
      <w:i/>
      <w:iCs/>
      <w:sz w:val="20"/>
      <w:szCs w:val="20"/>
    </w:rPr>
  </w:style>
  <w:style w:type="character" w:styleId="SubtleEmphasis">
    <w:name w:val="Subtle Emphasis"/>
    <w:uiPriority w:val="19"/>
    <w:qFormat/>
    <w:rsid w:val="00151A27"/>
    <w:rPr>
      <w:i/>
      <w:iCs/>
      <w:color w:val="5A5A5A" w:themeColor="text1" w:themeTint="A5"/>
    </w:rPr>
  </w:style>
  <w:style w:type="character" w:styleId="IntenseEmphasis">
    <w:name w:val="Intense Emphasis"/>
    <w:uiPriority w:val="21"/>
    <w:qFormat/>
    <w:rsid w:val="00151A27"/>
    <w:rPr>
      <w:b/>
      <w:bCs/>
      <w:i/>
      <w:iCs/>
      <w:color w:val="auto"/>
      <w:u w:val="single"/>
    </w:rPr>
  </w:style>
  <w:style w:type="character" w:styleId="SubtleReference">
    <w:name w:val="Subtle Reference"/>
    <w:uiPriority w:val="31"/>
    <w:qFormat/>
    <w:rsid w:val="00151A27"/>
    <w:rPr>
      <w:smallCaps/>
    </w:rPr>
  </w:style>
  <w:style w:type="character" w:styleId="IntenseReference">
    <w:name w:val="Intense Reference"/>
    <w:uiPriority w:val="32"/>
    <w:qFormat/>
    <w:rsid w:val="00151A27"/>
    <w:rPr>
      <w:b/>
      <w:bCs/>
      <w:smallCaps/>
      <w:color w:val="auto"/>
    </w:rPr>
  </w:style>
  <w:style w:type="character" w:styleId="BookTitle">
    <w:name w:val="Book Title"/>
    <w:uiPriority w:val="33"/>
    <w:qFormat/>
    <w:rsid w:val="00151A27"/>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151A27"/>
    <w:pPr>
      <w:outlineLvl w:val="9"/>
    </w:pPr>
  </w:style>
  <w:style w:type="paragraph" w:customStyle="1" w:styleId="PersonalName">
    <w:name w:val="Personal Name"/>
    <w:basedOn w:val="Normal"/>
    <w:rsid w:val="007A2FCD"/>
    <w:pPr>
      <w:spacing w:after="240"/>
    </w:pPr>
    <w:rPr>
      <w:rFonts w:asciiTheme="majorHAnsi" w:eastAsiaTheme="majorEastAsia" w:hAnsiTheme="majorHAnsi" w:cstheme="majorBidi"/>
      <w:bCs/>
      <w:iCs/>
      <w:caps/>
      <w:color w:val="000000"/>
      <w:spacing w:val="10"/>
      <w:kern w:val="0"/>
      <w:sz w:val="28"/>
      <w:szCs w:val="28"/>
      <w14:ligatures w14:val="none"/>
    </w:rPr>
  </w:style>
  <w:style w:type="paragraph" w:styleId="ListBullet">
    <w:name w:val="List Bullet"/>
    <w:basedOn w:val="Normal"/>
    <w:uiPriority w:val="99"/>
    <w:unhideWhenUsed/>
    <w:rsid w:val="00A52C03"/>
    <w:pPr>
      <w:numPr>
        <w:numId w:val="10"/>
      </w:numPr>
      <w:spacing w:after="240" w:line="360" w:lineRule="auto"/>
      <w:ind w:left="357" w:hanging="357"/>
      <w:contextualSpacing/>
    </w:pPr>
    <w:rPr>
      <w:rFonts w:eastAsiaTheme="minorEastAsia"/>
      <w:kern w:val="0"/>
      <w:sz w:val="22"/>
      <w:szCs w:val="22"/>
      <w14:ligatures w14:val="none"/>
    </w:rPr>
  </w:style>
  <w:style w:type="paragraph" w:styleId="ListBullet2">
    <w:name w:val="List Bullet 2"/>
    <w:basedOn w:val="Normal"/>
    <w:uiPriority w:val="99"/>
    <w:unhideWhenUsed/>
    <w:rsid w:val="00F05F67"/>
    <w:pPr>
      <w:numPr>
        <w:numId w:val="9"/>
      </w:numPr>
      <w:spacing w:after="240" w:line="360" w:lineRule="auto"/>
      <w:contextualSpacing/>
    </w:pPr>
    <w:rPr>
      <w:rFonts w:eastAsiaTheme="minorEastAsia"/>
      <w:kern w:val="0"/>
      <w:sz w:val="22"/>
      <w:szCs w:val="22"/>
      <w14:ligatures w14:val="none"/>
    </w:rPr>
  </w:style>
  <w:style w:type="paragraph" w:styleId="ListBullet3">
    <w:name w:val="List Bullet 3"/>
    <w:basedOn w:val="Normal"/>
    <w:uiPriority w:val="99"/>
    <w:unhideWhenUsed/>
    <w:rsid w:val="00F05F67"/>
    <w:pPr>
      <w:numPr>
        <w:numId w:val="8"/>
      </w:numPr>
      <w:spacing w:after="240" w:line="360" w:lineRule="auto"/>
      <w:contextualSpacing/>
    </w:pPr>
    <w:rPr>
      <w:rFonts w:eastAsiaTheme="minorEastAsia"/>
      <w:kern w:val="0"/>
      <w:sz w:val="22"/>
      <w:szCs w:val="22"/>
      <w14:ligatures w14:val="none"/>
    </w:rPr>
  </w:style>
  <w:style w:type="paragraph" w:styleId="ListNumber2">
    <w:name w:val="List Number 2"/>
    <w:basedOn w:val="Normal"/>
    <w:uiPriority w:val="99"/>
    <w:unhideWhenUsed/>
    <w:rsid w:val="00A52C03"/>
    <w:pPr>
      <w:numPr>
        <w:numId w:val="4"/>
      </w:numPr>
      <w:spacing w:after="240" w:line="360" w:lineRule="auto"/>
      <w:contextualSpacing/>
    </w:pPr>
    <w:rPr>
      <w:rFonts w:eastAsiaTheme="minorEastAsia"/>
      <w:kern w:val="0"/>
      <w:sz w:val="22"/>
      <w:szCs w:val="22"/>
      <w14:ligatures w14:val="none"/>
    </w:rPr>
  </w:style>
  <w:style w:type="paragraph" w:styleId="List2">
    <w:name w:val="List 2"/>
    <w:basedOn w:val="Normal"/>
    <w:uiPriority w:val="99"/>
    <w:unhideWhenUsed/>
    <w:rsid w:val="00A52C03"/>
    <w:pPr>
      <w:spacing w:after="240" w:line="360" w:lineRule="auto"/>
      <w:ind w:left="566" w:hanging="283"/>
      <w:contextualSpacing/>
    </w:pPr>
    <w:rPr>
      <w:rFonts w:eastAsiaTheme="minorEastAsia"/>
      <w:kern w:val="0"/>
      <w:sz w:val="22"/>
      <w:szCs w:val="22"/>
      <w14:ligatures w14:val="none"/>
    </w:rPr>
  </w:style>
  <w:style w:type="paragraph" w:styleId="ListNumber">
    <w:name w:val="List Number"/>
    <w:basedOn w:val="Normal"/>
    <w:uiPriority w:val="99"/>
    <w:unhideWhenUsed/>
    <w:rsid w:val="008528C9"/>
    <w:pPr>
      <w:numPr>
        <w:numId w:val="5"/>
      </w:numPr>
      <w:spacing w:after="240" w:line="360" w:lineRule="auto"/>
      <w:contextualSpacing/>
    </w:pPr>
    <w:rPr>
      <w:rFonts w:eastAsiaTheme="minorEastAsia"/>
      <w:kern w:val="0"/>
      <w:sz w:val="22"/>
      <w:szCs w:val="22"/>
      <w14:ligatures w14:val="none"/>
    </w:rPr>
  </w:style>
  <w:style w:type="paragraph" w:customStyle="1" w:styleId="Quoteheading">
    <w:name w:val="Quote heading"/>
    <w:basedOn w:val="Heading3"/>
    <w:qFormat/>
    <w:rsid w:val="007B4C3D"/>
    <w:pPr>
      <w:ind w:left="340"/>
    </w:pPr>
  </w:style>
  <w:style w:type="paragraph" w:styleId="Title">
    <w:name w:val="Title"/>
    <w:basedOn w:val="Normal"/>
    <w:next w:val="Normal"/>
    <w:link w:val="TitleChar"/>
    <w:uiPriority w:val="10"/>
    <w:qFormat/>
    <w:rsid w:val="007B4C3D"/>
    <w:pPr>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7B4C3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86984">
      <w:bodyDiv w:val="1"/>
      <w:marLeft w:val="0"/>
      <w:marRight w:val="0"/>
      <w:marTop w:val="0"/>
      <w:marBottom w:val="0"/>
      <w:divBdr>
        <w:top w:val="none" w:sz="0" w:space="0" w:color="auto"/>
        <w:left w:val="none" w:sz="0" w:space="0" w:color="auto"/>
        <w:bottom w:val="none" w:sz="0" w:space="0" w:color="auto"/>
        <w:right w:val="none" w:sz="0" w:space="0" w:color="auto"/>
      </w:divBdr>
    </w:div>
    <w:div w:id="1036393416">
      <w:bodyDiv w:val="1"/>
      <w:marLeft w:val="0"/>
      <w:marRight w:val="0"/>
      <w:marTop w:val="0"/>
      <w:marBottom w:val="0"/>
      <w:divBdr>
        <w:top w:val="none" w:sz="0" w:space="0" w:color="auto"/>
        <w:left w:val="none" w:sz="0" w:space="0" w:color="auto"/>
        <w:bottom w:val="none" w:sz="0" w:space="0" w:color="auto"/>
        <w:right w:val="none" w:sz="0" w:space="0" w:color="auto"/>
      </w:divBdr>
    </w:div>
    <w:div w:id="1155804920">
      <w:bodyDiv w:val="1"/>
      <w:marLeft w:val="0"/>
      <w:marRight w:val="0"/>
      <w:marTop w:val="0"/>
      <w:marBottom w:val="0"/>
      <w:divBdr>
        <w:top w:val="none" w:sz="0" w:space="0" w:color="auto"/>
        <w:left w:val="none" w:sz="0" w:space="0" w:color="auto"/>
        <w:bottom w:val="none" w:sz="0" w:space="0" w:color="auto"/>
        <w:right w:val="none" w:sz="0" w:space="0" w:color="auto"/>
      </w:divBdr>
    </w:div>
    <w:div w:id="19683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upra/shared/Administration/Forms%20&amp;%20Templates/Publications%20templates/Advice%20article%20template/Advice%20article%20template.dotx" TargetMode="External"/></Relationships>
</file>

<file path=word/theme/theme1.xml><?xml version="1.0" encoding="utf-8"?>
<a:theme xmlns:a="http://schemas.openxmlformats.org/drawingml/2006/main" name="Office Theme">
  <a:themeElements>
    <a:clrScheme name="SUPRA">
      <a:dk1>
        <a:srgbClr val="000000"/>
      </a:dk1>
      <a:lt1>
        <a:srgbClr val="C7C3E2"/>
      </a:lt1>
      <a:dk2>
        <a:srgbClr val="FFFFFF"/>
      </a:dk2>
      <a:lt2>
        <a:srgbClr val="CBE7D3"/>
      </a:lt2>
      <a:accent1>
        <a:srgbClr val="00ADEF"/>
      </a:accent1>
      <a:accent2>
        <a:srgbClr val="EC008B"/>
      </a:accent2>
      <a:accent3>
        <a:srgbClr val="FFF100"/>
      </a:accent3>
      <a:accent4>
        <a:srgbClr val="2E3092"/>
      </a:accent4>
      <a:accent5>
        <a:srgbClr val="00A550"/>
      </a:accent5>
      <a:accent6>
        <a:srgbClr val="ED1C24"/>
      </a:accent6>
      <a:hlink>
        <a:srgbClr val="F0593F"/>
      </a:hlink>
      <a:folHlink>
        <a:srgbClr val="EF599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Advice article template.dotx</Template>
  <TotalTime>25</TotalTime>
  <Pages>4</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SUPRA Sydney University Postgraduate</cp:lastModifiedBy>
  <cp:revision>1</cp:revision>
  <dcterms:created xsi:type="dcterms:W3CDTF">2023-03-01T02:49:00Z</dcterms:created>
  <dcterms:modified xsi:type="dcterms:W3CDTF">2023-03-01T03:34:00Z</dcterms:modified>
</cp:coreProperties>
</file>