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8D8" w14:textId="3F136812" w:rsidR="00B16615" w:rsidRPr="00884903" w:rsidRDefault="00B16615" w:rsidP="00C67C4D">
      <w:pPr>
        <w:pStyle w:val="BodyText"/>
        <w:spacing w:before="120" w:after="120"/>
        <w:ind w:left="2992" w:right="2981"/>
        <w:jc w:val="right"/>
        <w:rPr>
          <w:lang w:val="en-AU"/>
        </w:rPr>
      </w:pPr>
      <w:r w:rsidRPr="00884903">
        <w:rPr>
          <w:noProof/>
          <w:lang w:val="en-AU" w:eastAsia="en-GB"/>
        </w:rPr>
        <w:drawing>
          <wp:anchor distT="0" distB="0" distL="114300" distR="114300" simplePos="0" relativeHeight="251660288" behindDoc="0" locked="0" layoutInCell="1" allowOverlap="1" wp14:anchorId="1ABB3035" wp14:editId="1818BB55">
            <wp:simplePos x="0" y="0"/>
            <wp:positionH relativeFrom="column">
              <wp:posOffset>4486910</wp:posOffset>
            </wp:positionH>
            <wp:positionV relativeFrom="paragraph">
              <wp:posOffset>0</wp:posOffset>
            </wp:positionV>
            <wp:extent cx="1528445" cy="1564005"/>
            <wp:effectExtent l="0" t="0" r="0" b="10795"/>
            <wp:wrapThrough wrapText="bothSides">
              <wp:wrapPolygon edited="0">
                <wp:start x="7179" y="0"/>
                <wp:lineTo x="5384" y="351"/>
                <wp:lineTo x="0" y="4560"/>
                <wp:lineTo x="0" y="13681"/>
                <wp:lineTo x="1077" y="17540"/>
                <wp:lineTo x="6461" y="21398"/>
                <wp:lineTo x="7179" y="21398"/>
                <wp:lineTo x="13999" y="21398"/>
                <wp:lineTo x="15076" y="21398"/>
                <wp:lineTo x="20101" y="17540"/>
                <wp:lineTo x="21178" y="13681"/>
                <wp:lineTo x="21178" y="7367"/>
                <wp:lineTo x="20819" y="4560"/>
                <wp:lineTo x="16512" y="702"/>
                <wp:lineTo x="13999" y="0"/>
                <wp:lineTo x="717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EE32E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26CE2990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4E1D4896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54768313" w14:textId="77777777" w:rsidR="00B16615" w:rsidRPr="00884903" w:rsidRDefault="00B16615" w:rsidP="00C67C4D">
      <w:pPr>
        <w:pStyle w:val="BodyText"/>
        <w:spacing w:before="120" w:after="120"/>
        <w:ind w:left="2992" w:right="2981"/>
        <w:jc w:val="center"/>
        <w:rPr>
          <w:lang w:val="en-AU"/>
        </w:rPr>
      </w:pPr>
    </w:p>
    <w:p w14:paraId="65D5A988" w14:textId="3DF0FD81" w:rsidR="00C67C4D" w:rsidRDefault="00C67C4D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sz w:val="28"/>
          <w:szCs w:val="28"/>
          <w:lang w:val="en-AU"/>
        </w:rPr>
      </w:pPr>
    </w:p>
    <w:p w14:paraId="613A1288" w14:textId="77777777" w:rsidR="00D64753" w:rsidRPr="00884903" w:rsidRDefault="00D64753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sz w:val="28"/>
          <w:szCs w:val="28"/>
          <w:lang w:val="en-AU"/>
        </w:rPr>
      </w:pPr>
    </w:p>
    <w:p w14:paraId="2367D737" w14:textId="482D4FEB" w:rsidR="00996128" w:rsidRPr="00884903" w:rsidRDefault="002B7A75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color w:val="000000" w:themeColor="text1"/>
          <w:sz w:val="36"/>
          <w:szCs w:val="36"/>
          <w:lang w:val="en-AU"/>
        </w:rPr>
      </w:pPr>
      <w:r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>Sydney University Postgraduate Repre</w:t>
      </w:r>
      <w:r w:rsidR="00B11AEE"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sentative Association (SUPRA) </w:t>
      </w:r>
      <w:r w:rsidR="003F13F1" w:rsidRPr="003F13F1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Postgraduate Advocate </w:t>
      </w:r>
      <w:r w:rsidR="009A1C04">
        <w:rPr>
          <w:rFonts w:ascii="Century Gothic" w:hAnsi="Century Gothic"/>
          <w:color w:val="000000" w:themeColor="text1"/>
          <w:sz w:val="36"/>
          <w:szCs w:val="36"/>
          <w:lang w:val="en-AU"/>
        </w:rPr>
        <w:t>and</w:t>
      </w:r>
      <w:r w:rsidR="003F13F1" w:rsidRPr="003F13F1">
        <w:rPr>
          <w:rFonts w:ascii="Century Gothic" w:hAnsi="Century Gothic"/>
          <w:color w:val="000000" w:themeColor="text1"/>
          <w:sz w:val="36"/>
          <w:szCs w:val="36"/>
          <w:lang w:val="en-AU"/>
        </w:rPr>
        <w:t xml:space="preserve"> Policy Officer </w:t>
      </w:r>
      <w:r w:rsidR="004E05EF" w:rsidRPr="00884903">
        <w:rPr>
          <w:rFonts w:ascii="Century Gothic" w:hAnsi="Century Gothic"/>
          <w:color w:val="000000" w:themeColor="text1"/>
          <w:sz w:val="36"/>
          <w:szCs w:val="36"/>
          <w:lang w:val="en-AU"/>
        </w:rPr>
        <w:t>Policy</w:t>
      </w:r>
    </w:p>
    <w:p w14:paraId="6A7371C9" w14:textId="77777777" w:rsidR="00996128" w:rsidRPr="00884903" w:rsidRDefault="00996128" w:rsidP="00C67C4D">
      <w:pPr>
        <w:pStyle w:val="Heading1"/>
        <w:pBdr>
          <w:bottom w:val="single" w:sz="12" w:space="1" w:color="auto"/>
        </w:pBdr>
        <w:tabs>
          <w:tab w:val="left" w:pos="993"/>
        </w:tabs>
        <w:spacing w:before="120" w:after="120"/>
        <w:ind w:left="0" w:right="76" w:firstLine="0"/>
        <w:rPr>
          <w:rFonts w:ascii="Century Gothic" w:hAnsi="Century Gothic"/>
          <w:color w:val="000000" w:themeColor="text1"/>
          <w:sz w:val="28"/>
          <w:szCs w:val="28"/>
          <w:lang w:val="en-AU"/>
        </w:rPr>
      </w:pPr>
    </w:p>
    <w:p w14:paraId="6BC12EB8" w14:textId="74D9F8A1" w:rsidR="002655F0" w:rsidRPr="00884903" w:rsidRDefault="00B40001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</w:pPr>
      <w:r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>A.</w:t>
      </w:r>
      <w:r w:rsidR="00CA2A57"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ab/>
      </w:r>
      <w:r w:rsidR="002655F0" w:rsidRPr="00884903">
        <w:rPr>
          <w:rFonts w:ascii="Century Gothic" w:eastAsia="Century Gothic" w:hAnsi="Century Gothic" w:cs="Century Gothic"/>
          <w:bCs w:val="0"/>
          <w:color w:val="000000" w:themeColor="text1"/>
          <w:sz w:val="32"/>
          <w:szCs w:val="32"/>
          <w:lang w:val="en-AU"/>
        </w:rPr>
        <w:t>Preamble</w:t>
      </w:r>
    </w:p>
    <w:p w14:paraId="692428E1" w14:textId="77777777" w:rsidR="00C67C4D" w:rsidRPr="00884903" w:rsidRDefault="00C67C4D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lang w:val="en-AU"/>
        </w:rPr>
      </w:pPr>
    </w:p>
    <w:p w14:paraId="1469F19A" w14:textId="77777777" w:rsidR="005E7448" w:rsidRPr="00884903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rFonts w:ascii="Century Gothic" w:eastAsia="Century Gothic" w:hAnsi="Century Gothic" w:cs="Century Gothic"/>
          <w:bCs w:val="0"/>
          <w:color w:val="000000" w:themeColor="text1"/>
          <w:lang w:val="en-AU"/>
        </w:rPr>
      </w:pPr>
    </w:p>
    <w:p w14:paraId="0F3D8A7C" w14:textId="7816BF66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Name of</w:t>
      </w:r>
      <w:r w:rsidRPr="00884903">
        <w:rPr>
          <w:color w:val="000000" w:themeColor="text1"/>
          <w:spacing w:val="-3"/>
          <w:sz w:val="28"/>
          <w:szCs w:val="28"/>
          <w:lang w:val="en-AU"/>
        </w:rPr>
        <w:t xml:space="preserve"> </w:t>
      </w:r>
      <w:r w:rsidR="001960A8" w:rsidRPr="00884903">
        <w:rPr>
          <w:color w:val="000000" w:themeColor="text1"/>
          <w:sz w:val="28"/>
          <w:szCs w:val="28"/>
          <w:lang w:val="en-AU"/>
        </w:rPr>
        <w:t>Policy</w:t>
      </w:r>
    </w:p>
    <w:p w14:paraId="46F6722A" w14:textId="26446343" w:rsidR="005D492D" w:rsidRPr="00884903" w:rsidRDefault="00B16615" w:rsidP="00C67C4D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1960A8" w:rsidRPr="00884903">
        <w:rPr>
          <w:color w:val="000000" w:themeColor="text1"/>
          <w:lang w:val="en-AU"/>
        </w:rPr>
        <w:t>is is</w:t>
      </w:r>
      <w:r w:rsidRPr="00884903">
        <w:rPr>
          <w:color w:val="000000" w:themeColor="text1"/>
          <w:lang w:val="en-AU"/>
        </w:rPr>
        <w:t xml:space="preserve"> the </w:t>
      </w:r>
      <w:r w:rsidR="000405E6" w:rsidRPr="00884903">
        <w:rPr>
          <w:color w:val="000000" w:themeColor="text1"/>
          <w:lang w:val="en-AU"/>
        </w:rPr>
        <w:t xml:space="preserve">Sydney University Postgraduate Representative Association (SUPRA) </w:t>
      </w:r>
      <w:r w:rsidR="003F13F1" w:rsidRPr="003F13F1">
        <w:rPr>
          <w:color w:val="000000" w:themeColor="text1"/>
          <w:lang w:val="en-AU"/>
        </w:rPr>
        <w:t xml:space="preserve">Postgraduate Advocate </w:t>
      </w:r>
      <w:r w:rsidR="009A1C04">
        <w:rPr>
          <w:color w:val="000000" w:themeColor="text1"/>
          <w:lang w:val="en-AU"/>
        </w:rPr>
        <w:t>and</w:t>
      </w:r>
      <w:r w:rsidR="003F13F1" w:rsidRPr="003F13F1">
        <w:rPr>
          <w:color w:val="000000" w:themeColor="text1"/>
          <w:lang w:val="en-AU"/>
        </w:rPr>
        <w:t xml:space="preserve"> Policy Officer Policy</w:t>
      </w:r>
      <w:r w:rsidR="000405E6" w:rsidRPr="00884903">
        <w:rPr>
          <w:color w:val="000000" w:themeColor="text1"/>
          <w:lang w:val="en-AU"/>
        </w:rPr>
        <w:t>.</w:t>
      </w:r>
    </w:p>
    <w:p w14:paraId="77869B28" w14:textId="77777777" w:rsidR="005D492D" w:rsidRPr="00884903" w:rsidRDefault="005D492D" w:rsidP="005E7448">
      <w:pPr>
        <w:pStyle w:val="BodyText"/>
        <w:tabs>
          <w:tab w:val="left" w:pos="993"/>
        </w:tabs>
        <w:rPr>
          <w:color w:val="000000" w:themeColor="text1"/>
          <w:lang w:val="en-AU"/>
        </w:rPr>
      </w:pPr>
    </w:p>
    <w:p w14:paraId="210FF4FA" w14:textId="6E83E385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Commencement</w:t>
      </w:r>
    </w:p>
    <w:p w14:paraId="7C35DF9A" w14:textId="085A8C40" w:rsidR="005D492D" w:rsidRPr="00884903" w:rsidRDefault="00503BC8" w:rsidP="00C67C4D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C803A8" w:rsidRPr="00884903">
        <w:rPr>
          <w:color w:val="000000" w:themeColor="text1"/>
          <w:lang w:val="en-AU"/>
        </w:rPr>
        <w:t>is policy</w:t>
      </w:r>
      <w:r w:rsidR="000405E6" w:rsidRPr="00884903">
        <w:rPr>
          <w:color w:val="000000" w:themeColor="text1"/>
          <w:lang w:val="en-AU"/>
        </w:rPr>
        <w:t xml:space="preserve"> commenced on </w:t>
      </w:r>
      <w:r w:rsidR="0028541C">
        <w:rPr>
          <w:color w:val="000000" w:themeColor="text1"/>
          <w:lang w:val="en-AU"/>
        </w:rPr>
        <w:t>15 August 2013.</w:t>
      </w:r>
    </w:p>
    <w:p w14:paraId="39D02469" w14:textId="77777777" w:rsidR="005D492D" w:rsidRPr="00884903" w:rsidRDefault="005D492D" w:rsidP="005E7448">
      <w:pPr>
        <w:pStyle w:val="BodyText"/>
        <w:tabs>
          <w:tab w:val="left" w:pos="993"/>
        </w:tabs>
        <w:rPr>
          <w:color w:val="000000" w:themeColor="text1"/>
          <w:lang w:val="en-AU"/>
        </w:rPr>
      </w:pPr>
    </w:p>
    <w:p w14:paraId="1D56FE5C" w14:textId="4D82907E" w:rsidR="005D492D" w:rsidRPr="00884903" w:rsidRDefault="001960A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Policy is</w:t>
      </w:r>
      <w:r w:rsidR="00503BC8" w:rsidRPr="00884903">
        <w:rPr>
          <w:color w:val="000000" w:themeColor="text1"/>
          <w:spacing w:val="-1"/>
          <w:sz w:val="28"/>
          <w:szCs w:val="28"/>
          <w:lang w:val="en-AU"/>
        </w:rPr>
        <w:t xml:space="preserve"> </w:t>
      </w:r>
      <w:r w:rsidR="00503BC8" w:rsidRPr="00884903">
        <w:rPr>
          <w:color w:val="000000" w:themeColor="text1"/>
          <w:sz w:val="28"/>
          <w:szCs w:val="28"/>
          <w:lang w:val="en-AU"/>
        </w:rPr>
        <w:t>binding</w:t>
      </w:r>
    </w:p>
    <w:p w14:paraId="2D68D33C" w14:textId="3AB7EC10" w:rsidR="005D492D" w:rsidRPr="00884903" w:rsidRDefault="00B16615" w:rsidP="00C67C4D">
      <w:pPr>
        <w:pStyle w:val="BodyText"/>
        <w:tabs>
          <w:tab w:val="left" w:pos="993"/>
        </w:tabs>
        <w:spacing w:before="120" w:after="120"/>
        <w:ind w:right="743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1960A8" w:rsidRPr="00884903">
        <w:rPr>
          <w:color w:val="000000" w:themeColor="text1"/>
          <w:lang w:val="en-AU"/>
        </w:rPr>
        <w:t xml:space="preserve">is </w:t>
      </w:r>
      <w:r w:rsidR="00C803A8" w:rsidRPr="00884903">
        <w:rPr>
          <w:color w:val="000000" w:themeColor="text1"/>
          <w:lang w:val="en-AU"/>
        </w:rPr>
        <w:t>p</w:t>
      </w:r>
      <w:r w:rsidR="001960A8" w:rsidRPr="00884903">
        <w:rPr>
          <w:color w:val="000000" w:themeColor="text1"/>
          <w:lang w:val="en-AU"/>
        </w:rPr>
        <w:t xml:space="preserve">olicy </w:t>
      </w:r>
      <w:r w:rsidRPr="00884903">
        <w:rPr>
          <w:color w:val="000000" w:themeColor="text1"/>
          <w:lang w:val="en-AU"/>
        </w:rPr>
        <w:t>bind</w:t>
      </w:r>
      <w:r w:rsidR="001960A8" w:rsidRPr="00884903">
        <w:rPr>
          <w:color w:val="000000" w:themeColor="text1"/>
          <w:lang w:val="en-AU"/>
        </w:rPr>
        <w:t>s</w:t>
      </w:r>
      <w:r w:rsidR="00503BC8" w:rsidRPr="00884903">
        <w:rPr>
          <w:color w:val="000000" w:themeColor="text1"/>
          <w:lang w:val="en-AU"/>
        </w:rPr>
        <w:t xml:space="preserve"> </w:t>
      </w:r>
      <w:r w:rsidRPr="00884903">
        <w:rPr>
          <w:color w:val="000000" w:themeColor="text1"/>
          <w:lang w:val="en-AU"/>
        </w:rPr>
        <w:t>SUPRA</w:t>
      </w:r>
      <w:r w:rsidR="00503BC8" w:rsidRPr="00884903">
        <w:rPr>
          <w:color w:val="000000" w:themeColor="text1"/>
          <w:lang w:val="en-AU"/>
        </w:rPr>
        <w:t xml:space="preserve">, </w:t>
      </w:r>
      <w:r w:rsidR="00720D3C">
        <w:rPr>
          <w:color w:val="000000" w:themeColor="text1"/>
          <w:lang w:val="en-AU"/>
        </w:rPr>
        <w:t xml:space="preserve">its </w:t>
      </w:r>
      <w:r w:rsidR="00625F41">
        <w:rPr>
          <w:color w:val="000000" w:themeColor="text1"/>
          <w:lang w:val="en-AU"/>
        </w:rPr>
        <w:t>staff</w:t>
      </w:r>
      <w:r w:rsidR="00720D3C">
        <w:rPr>
          <w:color w:val="000000" w:themeColor="text1"/>
          <w:lang w:val="en-AU"/>
        </w:rPr>
        <w:t>, and members.</w:t>
      </w:r>
    </w:p>
    <w:p w14:paraId="297C7289" w14:textId="77777777" w:rsidR="005D492D" w:rsidRPr="00884903" w:rsidRDefault="005D492D" w:rsidP="005E7448">
      <w:pPr>
        <w:pStyle w:val="BodyText"/>
        <w:tabs>
          <w:tab w:val="left" w:pos="993"/>
        </w:tabs>
        <w:spacing w:after="120"/>
        <w:rPr>
          <w:color w:val="000000" w:themeColor="text1"/>
          <w:lang w:val="en-AU"/>
        </w:rPr>
      </w:pPr>
    </w:p>
    <w:p w14:paraId="6B438483" w14:textId="5A2235FA" w:rsidR="005D492D" w:rsidRPr="00884903" w:rsidRDefault="00503BC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  <w:r w:rsidRPr="00884903">
        <w:rPr>
          <w:color w:val="000000" w:themeColor="text1"/>
          <w:sz w:val="28"/>
          <w:szCs w:val="28"/>
          <w:lang w:val="en-AU"/>
        </w:rPr>
        <w:t>Statement of</w:t>
      </w:r>
      <w:r w:rsidRPr="00884903">
        <w:rPr>
          <w:color w:val="000000" w:themeColor="text1"/>
          <w:spacing w:val="-1"/>
          <w:sz w:val="28"/>
          <w:szCs w:val="28"/>
          <w:lang w:val="en-AU"/>
        </w:rPr>
        <w:t xml:space="preserve"> </w:t>
      </w:r>
      <w:r w:rsidRPr="00884903">
        <w:rPr>
          <w:color w:val="000000" w:themeColor="text1"/>
          <w:sz w:val="28"/>
          <w:szCs w:val="28"/>
          <w:lang w:val="en-AU"/>
        </w:rPr>
        <w:t>intent</w:t>
      </w:r>
    </w:p>
    <w:p w14:paraId="555368CA" w14:textId="22D5A4F9" w:rsidR="005D492D" w:rsidRPr="00884903" w:rsidRDefault="00503BC8" w:rsidP="005E7448">
      <w:pPr>
        <w:pStyle w:val="BodyText"/>
        <w:tabs>
          <w:tab w:val="left" w:pos="993"/>
        </w:tabs>
        <w:spacing w:before="120" w:after="120"/>
        <w:rPr>
          <w:color w:val="000000" w:themeColor="text1"/>
          <w:lang w:val="en-AU"/>
        </w:rPr>
      </w:pPr>
      <w:r w:rsidRPr="00884903">
        <w:rPr>
          <w:color w:val="000000" w:themeColor="text1"/>
          <w:lang w:val="en-AU"/>
        </w:rPr>
        <w:t>Th</w:t>
      </w:r>
      <w:r w:rsidR="00921B18" w:rsidRPr="00884903">
        <w:rPr>
          <w:color w:val="000000" w:themeColor="text1"/>
          <w:lang w:val="en-AU"/>
        </w:rPr>
        <w:t>is policy</w:t>
      </w:r>
      <w:r w:rsidRPr="00884903">
        <w:rPr>
          <w:color w:val="000000" w:themeColor="text1"/>
          <w:lang w:val="en-AU"/>
        </w:rPr>
        <w:t>:</w:t>
      </w:r>
    </w:p>
    <w:p w14:paraId="3D1AA9E7" w14:textId="77777777" w:rsidR="003F13F1" w:rsidRPr="007A5F76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 w:rsidRPr="007A5F76">
        <w:rPr>
          <w:color w:val="000000" w:themeColor="text1"/>
          <w:sz w:val="24"/>
        </w:rPr>
        <w:t>support</w:t>
      </w:r>
      <w:r>
        <w:rPr>
          <w:color w:val="000000" w:themeColor="text1"/>
          <w:sz w:val="24"/>
        </w:rPr>
        <w:t>s</w:t>
      </w:r>
      <w:r w:rsidRPr="007A5F76">
        <w:rPr>
          <w:color w:val="000000" w:themeColor="text1"/>
          <w:sz w:val="24"/>
        </w:rPr>
        <w:t xml:space="preserve"> the SUPRA</w:t>
      </w:r>
      <w:r w:rsidRPr="007A5F76">
        <w:rPr>
          <w:color w:val="000000" w:themeColor="text1"/>
          <w:spacing w:val="-2"/>
          <w:sz w:val="24"/>
        </w:rPr>
        <w:t xml:space="preserve"> </w:t>
      </w:r>
      <w:r w:rsidRPr="007A5F76">
        <w:rPr>
          <w:color w:val="000000" w:themeColor="text1"/>
          <w:sz w:val="24"/>
        </w:rPr>
        <w:t xml:space="preserve">Constitution </w:t>
      </w:r>
      <w:r>
        <w:rPr>
          <w:color w:val="000000" w:themeColor="text1"/>
          <w:sz w:val="24"/>
        </w:rPr>
        <w:t xml:space="preserve">(‘the Constitution’) </w:t>
      </w:r>
      <w:r w:rsidRPr="007A5F76">
        <w:rPr>
          <w:color w:val="000000" w:themeColor="text1"/>
          <w:sz w:val="24"/>
        </w:rPr>
        <w:t xml:space="preserve">and </w:t>
      </w:r>
      <w:r w:rsidRPr="00534F2C">
        <w:rPr>
          <w:color w:val="000000" w:themeColor="text1"/>
          <w:sz w:val="24"/>
        </w:rPr>
        <w:t xml:space="preserve">the SUPRA Enterprise Agreement in force at the time (‘the SUPRA EA’), and shall not be interpreted so as to contravene </w:t>
      </w:r>
      <w:r>
        <w:rPr>
          <w:color w:val="000000" w:themeColor="text1"/>
          <w:sz w:val="24"/>
        </w:rPr>
        <w:t>either the Constitution or the SUPRA EA.</w:t>
      </w:r>
    </w:p>
    <w:p w14:paraId="42F4D4AA" w14:textId="77777777" w:rsidR="003F13F1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should be read</w:t>
      </w:r>
      <w:r w:rsidRPr="00E459A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in conjunction with the SUPRA Safer Spaces Policy and the other policies in the SUPRA Policy Manual which cover specific areas of personal and professional conduct.</w:t>
      </w:r>
    </w:p>
    <w:p w14:paraId="458F5E1E" w14:textId="5B50C515" w:rsidR="003F13F1" w:rsidRDefault="003F13F1" w:rsidP="003F13F1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should also be read in conjunction with the duty statement</w:t>
      </w:r>
      <w:r w:rsidR="006727EA">
        <w:rPr>
          <w:color w:val="000000" w:themeColor="text1"/>
          <w:sz w:val="24"/>
        </w:rPr>
        <w:t xml:space="preserve">s of staff employed </w:t>
      </w:r>
      <w:r w:rsidR="00ED376A">
        <w:rPr>
          <w:color w:val="000000" w:themeColor="text1"/>
          <w:sz w:val="24"/>
        </w:rPr>
        <w:t>as</w:t>
      </w:r>
      <w:r w:rsidR="006727EA">
        <w:rPr>
          <w:color w:val="000000" w:themeColor="text1"/>
          <w:sz w:val="24"/>
        </w:rPr>
        <w:t xml:space="preserve"> </w:t>
      </w:r>
      <w:r w:rsidR="00ED376A">
        <w:rPr>
          <w:color w:val="000000" w:themeColor="text1"/>
          <w:sz w:val="24"/>
        </w:rPr>
        <w:t>caseworkers</w:t>
      </w:r>
      <w:r w:rsidR="006727EA">
        <w:rPr>
          <w:color w:val="000000" w:themeColor="text1"/>
          <w:sz w:val="24"/>
        </w:rPr>
        <w:t>.</w:t>
      </w:r>
    </w:p>
    <w:p w14:paraId="32CCB062" w14:textId="167FF73B" w:rsidR="00C67C4D" w:rsidRDefault="007E34FB" w:rsidP="001C3DE7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  <w:lang w:val="en-AU"/>
        </w:rPr>
      </w:pPr>
      <w:r>
        <w:rPr>
          <w:color w:val="000000" w:themeColor="text1"/>
          <w:sz w:val="24"/>
          <w:lang w:val="en-AU"/>
        </w:rPr>
        <w:lastRenderedPageBreak/>
        <w:t xml:space="preserve">outlines the role of SUPRA in providing an advice and advocacy service to </w:t>
      </w:r>
      <w:r w:rsidR="00A128E3">
        <w:rPr>
          <w:color w:val="000000" w:themeColor="text1"/>
          <w:sz w:val="24"/>
          <w:lang w:val="en-AU"/>
        </w:rPr>
        <w:t xml:space="preserve">postgraduate </w:t>
      </w:r>
      <w:r>
        <w:rPr>
          <w:color w:val="000000" w:themeColor="text1"/>
          <w:sz w:val="24"/>
          <w:lang w:val="en-AU"/>
        </w:rPr>
        <w:t>students</w:t>
      </w:r>
      <w:r w:rsidR="001C3DE7">
        <w:rPr>
          <w:color w:val="000000" w:themeColor="text1"/>
          <w:sz w:val="24"/>
          <w:lang w:val="en-AU"/>
        </w:rPr>
        <w:t>.</w:t>
      </w:r>
    </w:p>
    <w:p w14:paraId="4AE0FD37" w14:textId="6F84A9F1" w:rsidR="007A3717" w:rsidRDefault="007A3717" w:rsidP="001C3DE7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before="120" w:after="120"/>
        <w:rPr>
          <w:color w:val="000000" w:themeColor="text1"/>
          <w:sz w:val="24"/>
          <w:lang w:val="en-AU"/>
        </w:rPr>
      </w:pPr>
      <w:r w:rsidRPr="007A3717">
        <w:rPr>
          <w:color w:val="000000" w:themeColor="text1"/>
          <w:sz w:val="24"/>
          <w:lang w:val="en-AU"/>
        </w:rPr>
        <w:t xml:space="preserve">provides for </w:t>
      </w:r>
      <w:r w:rsidR="007E34FB">
        <w:rPr>
          <w:color w:val="000000" w:themeColor="text1"/>
          <w:sz w:val="24"/>
          <w:lang w:val="en-AU"/>
        </w:rPr>
        <w:t xml:space="preserve">the </w:t>
      </w:r>
      <w:r w:rsidRPr="007A3717">
        <w:rPr>
          <w:color w:val="000000" w:themeColor="text1"/>
          <w:sz w:val="24"/>
          <w:lang w:val="en-AU"/>
        </w:rPr>
        <w:t xml:space="preserve">SUPRA </w:t>
      </w:r>
      <w:r>
        <w:rPr>
          <w:color w:val="000000" w:themeColor="text1"/>
          <w:sz w:val="24"/>
          <w:lang w:val="en-AU"/>
        </w:rPr>
        <w:t>Postgraduate Advocate and Policy Officer Procedures</w:t>
      </w:r>
      <w:r w:rsidRPr="007A3717">
        <w:rPr>
          <w:color w:val="000000" w:themeColor="text1"/>
          <w:sz w:val="24"/>
          <w:lang w:val="en-AU"/>
        </w:rPr>
        <w:t xml:space="preserve"> which detail</w:t>
      </w:r>
      <w:r>
        <w:rPr>
          <w:color w:val="000000" w:themeColor="text1"/>
          <w:sz w:val="24"/>
          <w:lang w:val="en-AU"/>
        </w:rPr>
        <w:t xml:space="preserve"> the operation of the </w:t>
      </w:r>
      <w:r w:rsidR="007E34FB">
        <w:rPr>
          <w:color w:val="000000" w:themeColor="text1"/>
          <w:sz w:val="24"/>
          <w:lang w:val="en-AU"/>
        </w:rPr>
        <w:t>p</w:t>
      </w:r>
      <w:r>
        <w:rPr>
          <w:color w:val="000000" w:themeColor="text1"/>
          <w:sz w:val="24"/>
          <w:lang w:val="en-AU"/>
        </w:rPr>
        <w:t xml:space="preserve">ostgraduate </w:t>
      </w:r>
      <w:r w:rsidR="007E34FB">
        <w:rPr>
          <w:color w:val="000000" w:themeColor="text1"/>
          <w:sz w:val="24"/>
          <w:lang w:val="en-AU"/>
        </w:rPr>
        <w:t>a</w:t>
      </w:r>
      <w:r>
        <w:rPr>
          <w:color w:val="000000" w:themeColor="text1"/>
          <w:sz w:val="24"/>
          <w:lang w:val="en-AU"/>
        </w:rPr>
        <w:t xml:space="preserve">dvocacy </w:t>
      </w:r>
      <w:r w:rsidR="007E34FB">
        <w:rPr>
          <w:color w:val="000000" w:themeColor="text1"/>
          <w:sz w:val="24"/>
          <w:lang w:val="en-AU"/>
        </w:rPr>
        <w:t>s</w:t>
      </w:r>
      <w:r>
        <w:rPr>
          <w:color w:val="000000" w:themeColor="text1"/>
          <w:sz w:val="24"/>
          <w:lang w:val="en-AU"/>
        </w:rPr>
        <w:t>ervice.</w:t>
      </w:r>
    </w:p>
    <w:p w14:paraId="268E1FFE" w14:textId="77777777" w:rsidR="007A3717" w:rsidRDefault="007A3717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32"/>
          <w:szCs w:val="32"/>
          <w:lang w:val="en-AU"/>
        </w:rPr>
      </w:pPr>
    </w:p>
    <w:p w14:paraId="26D726F1" w14:textId="6B0128FB" w:rsidR="00CA2A57" w:rsidRPr="00884903" w:rsidRDefault="009E0E87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32"/>
          <w:szCs w:val="32"/>
          <w:lang w:val="en-AU"/>
        </w:rPr>
      </w:pPr>
      <w:r w:rsidRPr="00884903">
        <w:rPr>
          <w:color w:val="000000" w:themeColor="text1"/>
          <w:sz w:val="32"/>
          <w:szCs w:val="32"/>
          <w:lang w:val="en-AU"/>
        </w:rPr>
        <w:t>B.</w:t>
      </w:r>
      <w:r w:rsidR="00CA2A57" w:rsidRPr="00884903">
        <w:rPr>
          <w:color w:val="000000" w:themeColor="text1"/>
          <w:sz w:val="32"/>
          <w:szCs w:val="32"/>
          <w:lang w:val="en-AU"/>
        </w:rPr>
        <w:tab/>
      </w:r>
      <w:r w:rsidR="00921B18" w:rsidRPr="00884903">
        <w:rPr>
          <w:color w:val="000000" w:themeColor="text1"/>
          <w:sz w:val="32"/>
          <w:szCs w:val="32"/>
          <w:lang w:val="en-AU"/>
        </w:rPr>
        <w:t>Policy</w:t>
      </w:r>
    </w:p>
    <w:p w14:paraId="3F666F2C" w14:textId="77777777" w:rsidR="005E7448" w:rsidRPr="00884903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lang w:val="en-AU"/>
        </w:rPr>
      </w:pPr>
    </w:p>
    <w:p w14:paraId="57C3B6BC" w14:textId="77777777" w:rsidR="005E7448" w:rsidRPr="00A53561" w:rsidRDefault="005E7448" w:rsidP="005E7448">
      <w:pPr>
        <w:pStyle w:val="Heading1"/>
        <w:tabs>
          <w:tab w:val="left" w:pos="857"/>
          <w:tab w:val="left" w:pos="858"/>
          <w:tab w:val="left" w:pos="993"/>
        </w:tabs>
        <w:ind w:left="0" w:firstLine="0"/>
        <w:rPr>
          <w:color w:val="000000" w:themeColor="text1"/>
          <w:sz w:val="28"/>
          <w:szCs w:val="28"/>
          <w:lang w:val="en-AU"/>
        </w:rPr>
      </w:pPr>
    </w:p>
    <w:p w14:paraId="58BC7C37" w14:textId="77777777" w:rsidR="00ED376A" w:rsidRDefault="00ED376A" w:rsidP="00ED376A">
      <w:pPr>
        <w:pStyle w:val="Heading1"/>
        <w:tabs>
          <w:tab w:val="left" w:pos="851"/>
          <w:tab w:val="left" w:pos="993"/>
        </w:tabs>
        <w:spacing w:after="120"/>
        <w:ind w:left="0" w:firstLine="0"/>
        <w:rPr>
          <w:color w:val="000000" w:themeColor="text1"/>
          <w:sz w:val="28"/>
          <w:szCs w:val="28"/>
          <w:u w:val="single"/>
        </w:rPr>
      </w:pPr>
      <w:r w:rsidRPr="007A5F76">
        <w:rPr>
          <w:color w:val="000000" w:themeColor="text1"/>
          <w:sz w:val="28"/>
          <w:szCs w:val="28"/>
          <w:u w:val="single"/>
        </w:rPr>
        <w:t>1.</w:t>
      </w:r>
      <w:r w:rsidRPr="007A5F76">
        <w:rPr>
          <w:color w:val="000000" w:themeColor="text1"/>
          <w:sz w:val="28"/>
          <w:szCs w:val="28"/>
          <w:u w:val="single"/>
        </w:rPr>
        <w:tab/>
        <w:t>Definitions</w:t>
      </w:r>
    </w:p>
    <w:p w14:paraId="51F63115" w14:textId="77777777" w:rsidR="00ED376A" w:rsidRPr="005E7448" w:rsidRDefault="00ED376A" w:rsidP="00ED376A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color w:val="000000" w:themeColor="text1"/>
          <w:sz w:val="28"/>
          <w:szCs w:val="28"/>
          <w:u w:val="single"/>
        </w:rPr>
      </w:pPr>
    </w:p>
    <w:p w14:paraId="6CC5CA11" w14:textId="035E2170" w:rsidR="00ED376A" w:rsidRPr="00646EA0" w:rsidRDefault="00ED376A" w:rsidP="00ED376A">
      <w:pPr>
        <w:pStyle w:val="BodyText"/>
        <w:numPr>
          <w:ilvl w:val="1"/>
          <w:numId w:val="3"/>
        </w:numPr>
        <w:tabs>
          <w:tab w:val="left" w:pos="851"/>
        </w:tabs>
        <w:spacing w:before="120" w:after="120"/>
        <w:rPr>
          <w:color w:val="000000" w:themeColor="text1"/>
          <w:w w:val="105"/>
        </w:rPr>
      </w:pPr>
      <w:r w:rsidRPr="007A5F76">
        <w:rPr>
          <w:color w:val="000000" w:themeColor="text1"/>
          <w:w w:val="105"/>
        </w:rPr>
        <w:t>The definitions set out in the Constitution</w:t>
      </w:r>
      <w:r w:rsidR="007C23A2">
        <w:rPr>
          <w:color w:val="000000" w:themeColor="text1"/>
          <w:w w:val="105"/>
        </w:rPr>
        <w:t>,</w:t>
      </w:r>
      <w:r>
        <w:rPr>
          <w:color w:val="000000" w:themeColor="text1"/>
          <w:w w:val="105"/>
        </w:rPr>
        <w:t xml:space="preserve"> the SUPRA EA, </w:t>
      </w:r>
      <w:r w:rsidR="007C23A2">
        <w:rPr>
          <w:color w:val="000000" w:themeColor="text1"/>
          <w:w w:val="105"/>
        </w:rPr>
        <w:t xml:space="preserve">and the </w:t>
      </w:r>
      <w:r>
        <w:rPr>
          <w:color w:val="000000" w:themeColor="text1"/>
          <w:w w:val="105"/>
        </w:rPr>
        <w:t xml:space="preserve">SUPRA Safer Spaces Policy, </w:t>
      </w:r>
      <w:r w:rsidRPr="007A5F76">
        <w:rPr>
          <w:color w:val="000000" w:themeColor="text1"/>
          <w:w w:val="105"/>
        </w:rPr>
        <w:t>shall apply to th</w:t>
      </w:r>
      <w:r>
        <w:rPr>
          <w:color w:val="000000" w:themeColor="text1"/>
          <w:w w:val="105"/>
        </w:rPr>
        <w:t xml:space="preserve">is </w:t>
      </w:r>
      <w:r w:rsidR="007C23A2">
        <w:rPr>
          <w:color w:val="000000" w:themeColor="text1"/>
          <w:w w:val="105"/>
        </w:rPr>
        <w:t>policy</w:t>
      </w:r>
      <w:r w:rsidRPr="007A5F76">
        <w:rPr>
          <w:color w:val="000000" w:themeColor="text1"/>
          <w:w w:val="105"/>
        </w:rPr>
        <w:t>.</w:t>
      </w:r>
    </w:p>
    <w:p w14:paraId="34F53EFE" w14:textId="12F4A498" w:rsidR="001E34E5" w:rsidRPr="00884903" w:rsidRDefault="00FE740C" w:rsidP="009B2257">
      <w:pPr>
        <w:pStyle w:val="BodyText"/>
        <w:numPr>
          <w:ilvl w:val="1"/>
          <w:numId w:val="3"/>
        </w:numPr>
        <w:tabs>
          <w:tab w:val="left" w:pos="851"/>
        </w:tabs>
        <w:spacing w:before="120"/>
        <w:rPr>
          <w:color w:val="000000" w:themeColor="text1"/>
          <w:w w:val="105"/>
          <w:lang w:val="en-AU"/>
        </w:rPr>
      </w:pPr>
      <w:r w:rsidRPr="00884903">
        <w:rPr>
          <w:color w:val="000000" w:themeColor="text1"/>
          <w:w w:val="105"/>
          <w:lang w:val="en-AU"/>
        </w:rPr>
        <w:t>In addition</w:t>
      </w:r>
      <w:r w:rsidR="001E34E5" w:rsidRPr="00884903">
        <w:rPr>
          <w:color w:val="000000" w:themeColor="text1"/>
          <w:w w:val="105"/>
          <w:lang w:val="en-AU"/>
        </w:rPr>
        <w:t xml:space="preserve">, for the purposes of </w:t>
      </w:r>
      <w:r w:rsidR="00921B18" w:rsidRPr="00884903">
        <w:rPr>
          <w:color w:val="000000" w:themeColor="text1"/>
          <w:w w:val="105"/>
          <w:lang w:val="en-AU"/>
        </w:rPr>
        <w:t>this policy</w:t>
      </w:r>
      <w:r w:rsidRPr="00884903">
        <w:rPr>
          <w:color w:val="000000" w:themeColor="text1"/>
          <w:w w:val="105"/>
          <w:lang w:val="en-AU"/>
        </w:rPr>
        <w:t>:</w:t>
      </w:r>
    </w:p>
    <w:p w14:paraId="626B33C2" w14:textId="4F052529" w:rsidR="00706FB2" w:rsidRPr="00884903" w:rsidRDefault="009A1C04" w:rsidP="009B2257">
      <w:pPr>
        <w:pStyle w:val="BodyText"/>
        <w:numPr>
          <w:ilvl w:val="2"/>
          <w:numId w:val="3"/>
        </w:numPr>
        <w:tabs>
          <w:tab w:val="left" w:pos="851"/>
          <w:tab w:val="left" w:pos="1701"/>
        </w:tabs>
        <w:spacing w:before="120"/>
        <w:rPr>
          <w:color w:val="000000" w:themeColor="text1"/>
          <w:w w:val="105"/>
          <w:lang w:val="en-AU"/>
        </w:rPr>
      </w:pPr>
      <w:r>
        <w:rPr>
          <w:b/>
          <w:bCs/>
          <w:color w:val="000000" w:themeColor="text1"/>
          <w:w w:val="105"/>
          <w:lang w:val="en-AU"/>
        </w:rPr>
        <w:t>Caseworker</w:t>
      </w:r>
      <w:r w:rsidR="00706FB2" w:rsidRPr="00884903">
        <w:rPr>
          <w:color w:val="000000" w:themeColor="text1"/>
          <w:w w:val="105"/>
          <w:lang w:val="en-AU"/>
        </w:rPr>
        <w:t xml:space="preserve"> means</w:t>
      </w:r>
      <w:r w:rsidR="00966BFD">
        <w:rPr>
          <w:color w:val="000000" w:themeColor="text1"/>
          <w:w w:val="105"/>
          <w:lang w:val="en-AU"/>
        </w:rPr>
        <w:t xml:space="preserve"> </w:t>
      </w:r>
      <w:r>
        <w:rPr>
          <w:color w:val="000000" w:themeColor="text1"/>
          <w:w w:val="105"/>
          <w:lang w:val="en-AU"/>
        </w:rPr>
        <w:t>postgraduate advocate and policy officer</w:t>
      </w:r>
      <w:r w:rsidR="004E0824" w:rsidRPr="00884903">
        <w:rPr>
          <w:color w:val="000000" w:themeColor="text1"/>
          <w:w w:val="105"/>
          <w:lang w:val="en-AU"/>
        </w:rPr>
        <w:t>.</w:t>
      </w:r>
    </w:p>
    <w:p w14:paraId="356E2206" w14:textId="1ECF54D2" w:rsidR="007A3717" w:rsidRPr="005E7448" w:rsidRDefault="007A3717" w:rsidP="007A3717">
      <w:pPr>
        <w:pStyle w:val="BodyText"/>
        <w:numPr>
          <w:ilvl w:val="2"/>
          <w:numId w:val="3"/>
        </w:numPr>
        <w:tabs>
          <w:tab w:val="left" w:pos="851"/>
          <w:tab w:val="left" w:pos="1701"/>
        </w:tabs>
        <w:spacing w:before="120" w:after="120"/>
        <w:rPr>
          <w:color w:val="000000" w:themeColor="text1"/>
          <w:w w:val="105"/>
        </w:rPr>
      </w:pPr>
      <w:r>
        <w:rPr>
          <w:b/>
          <w:color w:val="000000" w:themeColor="text1"/>
          <w:w w:val="105"/>
        </w:rPr>
        <w:t xml:space="preserve">Procedures </w:t>
      </w:r>
      <w:r w:rsidRPr="007A5F76">
        <w:rPr>
          <w:color w:val="000000" w:themeColor="text1"/>
          <w:w w:val="105"/>
        </w:rPr>
        <w:t>means</w:t>
      </w:r>
      <w:r>
        <w:rPr>
          <w:color w:val="000000" w:themeColor="text1"/>
          <w:w w:val="105"/>
        </w:rPr>
        <w:t xml:space="preserve"> the SUPRA </w:t>
      </w:r>
      <w:r>
        <w:rPr>
          <w:color w:val="000000" w:themeColor="text1"/>
          <w:lang w:val="en-AU"/>
        </w:rPr>
        <w:t>Postgraduate Advocate and Policy Officer Procedures</w:t>
      </w:r>
      <w:r w:rsidRPr="007A3717">
        <w:rPr>
          <w:color w:val="000000" w:themeColor="text1"/>
          <w:lang w:val="en-AU"/>
        </w:rPr>
        <w:t xml:space="preserve"> </w:t>
      </w:r>
      <w:r>
        <w:rPr>
          <w:color w:val="000000" w:themeColor="text1"/>
          <w:w w:val="105"/>
        </w:rPr>
        <w:t xml:space="preserve">implemented pursuant to this </w:t>
      </w:r>
      <w:r w:rsidR="00621B42">
        <w:rPr>
          <w:color w:val="000000" w:themeColor="text1"/>
          <w:w w:val="105"/>
        </w:rPr>
        <w:t>p</w:t>
      </w:r>
      <w:r>
        <w:rPr>
          <w:color w:val="000000" w:themeColor="text1"/>
          <w:w w:val="105"/>
        </w:rPr>
        <w:t>olicy</w:t>
      </w:r>
      <w:r w:rsidRPr="007A5F76">
        <w:rPr>
          <w:color w:val="000000" w:themeColor="text1"/>
          <w:w w:val="105"/>
        </w:rPr>
        <w:t>.</w:t>
      </w:r>
    </w:p>
    <w:p w14:paraId="12884F2C" w14:textId="25464BB9" w:rsidR="00F67907" w:rsidRPr="00F67907" w:rsidRDefault="00F67907" w:rsidP="003C110F">
      <w:pPr>
        <w:pStyle w:val="BodyText"/>
        <w:numPr>
          <w:ilvl w:val="2"/>
          <w:numId w:val="3"/>
        </w:numPr>
        <w:tabs>
          <w:tab w:val="left" w:pos="851"/>
          <w:tab w:val="left" w:pos="1701"/>
        </w:tabs>
        <w:spacing w:before="120"/>
        <w:rPr>
          <w:color w:val="000000" w:themeColor="text1"/>
          <w:w w:val="105"/>
          <w:lang w:val="en-AU"/>
        </w:rPr>
      </w:pPr>
      <w:r>
        <w:rPr>
          <w:b/>
          <w:bCs/>
          <w:color w:val="000000" w:themeColor="text1"/>
          <w:w w:val="105"/>
          <w:lang w:val="en-AU"/>
        </w:rPr>
        <w:t xml:space="preserve">Service </w:t>
      </w:r>
      <w:r>
        <w:rPr>
          <w:color w:val="000000" w:themeColor="text1"/>
          <w:w w:val="105"/>
          <w:lang w:val="en-AU"/>
        </w:rPr>
        <w:t>means the postgraduate advocacy service.</w:t>
      </w:r>
    </w:p>
    <w:p w14:paraId="6F95656A" w14:textId="08FDFAB9" w:rsidR="003C110F" w:rsidRDefault="003C110F" w:rsidP="003C110F">
      <w:pPr>
        <w:pStyle w:val="BodyText"/>
        <w:numPr>
          <w:ilvl w:val="2"/>
          <w:numId w:val="3"/>
        </w:numPr>
        <w:tabs>
          <w:tab w:val="left" w:pos="851"/>
          <w:tab w:val="left" w:pos="1701"/>
        </w:tabs>
        <w:spacing w:before="120"/>
        <w:rPr>
          <w:color w:val="000000" w:themeColor="text1"/>
          <w:w w:val="105"/>
          <w:lang w:val="en-AU"/>
        </w:rPr>
      </w:pPr>
      <w:r>
        <w:rPr>
          <w:b/>
          <w:bCs/>
          <w:color w:val="000000" w:themeColor="text1"/>
          <w:w w:val="105"/>
          <w:lang w:val="en-AU"/>
        </w:rPr>
        <w:t>Staff</w:t>
      </w:r>
      <w:r w:rsidRPr="00884903">
        <w:rPr>
          <w:color w:val="000000" w:themeColor="text1"/>
          <w:w w:val="105"/>
          <w:lang w:val="en-AU"/>
        </w:rPr>
        <w:t xml:space="preserve"> means</w:t>
      </w:r>
      <w:r>
        <w:rPr>
          <w:color w:val="000000" w:themeColor="text1"/>
          <w:w w:val="105"/>
          <w:lang w:val="en-AU"/>
        </w:rPr>
        <w:t xml:space="preserve"> the collective group of persons</w:t>
      </w:r>
      <w:r w:rsidRPr="00BF7A01">
        <w:rPr>
          <w:color w:val="000000" w:themeColor="text1"/>
          <w:w w:val="105"/>
          <w:lang w:val="en-AU"/>
        </w:rPr>
        <w:t xml:space="preserve"> </w:t>
      </w:r>
      <w:r>
        <w:rPr>
          <w:color w:val="000000" w:themeColor="text1"/>
          <w:w w:val="105"/>
          <w:lang w:val="en-AU"/>
        </w:rPr>
        <w:t>directly employed by SUPRA</w:t>
      </w:r>
      <w:r w:rsidR="007C23A2">
        <w:rPr>
          <w:color w:val="000000" w:themeColor="text1"/>
          <w:w w:val="105"/>
          <w:lang w:val="en-AU"/>
        </w:rPr>
        <w:t xml:space="preserve"> but not by the SUPRA Legal Service Pty Ltd</w:t>
      </w:r>
      <w:r>
        <w:rPr>
          <w:color w:val="000000" w:themeColor="text1"/>
          <w:w w:val="105"/>
          <w:lang w:val="en-AU"/>
        </w:rPr>
        <w:t>.</w:t>
      </w:r>
    </w:p>
    <w:p w14:paraId="6781D4B2" w14:textId="77777777" w:rsidR="005E7448" w:rsidRPr="00884903" w:rsidRDefault="005E7448" w:rsidP="005E7448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</w:p>
    <w:p w14:paraId="00195F0F" w14:textId="7C6881DE" w:rsidR="00A128E3" w:rsidRPr="00884903" w:rsidRDefault="00A128E3" w:rsidP="00A128E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2.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The Role of SUPRA in Casework and Advocacy Work</w:t>
      </w:r>
    </w:p>
    <w:p w14:paraId="6860789F" w14:textId="77777777" w:rsidR="00A128E3" w:rsidRPr="00884903" w:rsidRDefault="00A128E3" w:rsidP="00A128E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lang w:val="en-AU"/>
        </w:rPr>
      </w:pPr>
    </w:p>
    <w:p w14:paraId="41B15A6A" w14:textId="3FDC36F7" w:rsidR="00A128E3" w:rsidRDefault="00A128E3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 w:rsidRPr="00884903">
        <w:rPr>
          <w:rFonts w:ascii="Century Gothic" w:hAnsi="Century Gothic"/>
          <w:b w:val="0"/>
          <w:bCs w:val="0"/>
          <w:color w:val="000000" w:themeColor="text1"/>
          <w:lang w:val="en-AU"/>
        </w:rPr>
        <w:t>2.1</w:t>
      </w:r>
      <w:r w:rsidRPr="00884903">
        <w:rPr>
          <w:rFonts w:ascii="Century Gothic" w:hAnsi="Century Gothic"/>
          <w:color w:val="000000" w:themeColor="text1"/>
          <w:lang w:val="en-AU"/>
        </w:rPr>
        <w:tab/>
      </w:r>
      <w:r>
        <w:rPr>
          <w:rFonts w:ascii="Century Gothic" w:hAnsi="Century Gothic"/>
          <w:b w:val="0"/>
          <w:color w:val="000000" w:themeColor="text1"/>
          <w:lang w:val="en-AU"/>
        </w:rPr>
        <w:t xml:space="preserve">SUPRA </w:t>
      </w:r>
      <w:r w:rsidR="00F67907">
        <w:rPr>
          <w:rFonts w:ascii="Century Gothic" w:hAnsi="Century Gothic"/>
          <w:b w:val="0"/>
          <w:color w:val="000000" w:themeColor="text1"/>
          <w:lang w:val="en-AU"/>
        </w:rPr>
        <w:t>operates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 w:rsidR="00F67907">
        <w:rPr>
          <w:rFonts w:ascii="Century Gothic" w:hAnsi="Century Gothic"/>
          <w:b w:val="0"/>
          <w:color w:val="000000" w:themeColor="text1"/>
          <w:lang w:val="en-AU"/>
        </w:rPr>
        <w:t>the postgraduate advocacy service to provide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 advice and advocacy to all University postgraduate students.  </w:t>
      </w:r>
    </w:p>
    <w:p w14:paraId="4C6C4501" w14:textId="4C178909" w:rsidR="00F67907" w:rsidRDefault="00A128E3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2.2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The aim of the service is to inform, empower and resource students to assert their rights, resolve </w:t>
      </w:r>
      <w:r w:rsidR="00E8533F">
        <w:rPr>
          <w:rFonts w:ascii="Century Gothic" w:hAnsi="Century Gothic"/>
          <w:b w:val="0"/>
          <w:color w:val="000000" w:themeColor="text1"/>
          <w:lang w:val="en-AU"/>
        </w:rPr>
        <w:t>issues, concerns</w:t>
      </w:r>
      <w:r w:rsidR="00D64753">
        <w:rPr>
          <w:rFonts w:ascii="Century Gothic" w:hAnsi="Century Gothic"/>
          <w:b w:val="0"/>
          <w:color w:val="000000" w:themeColor="text1"/>
          <w:lang w:val="en-AU"/>
        </w:rPr>
        <w:t>,</w:t>
      </w:r>
      <w:r w:rsidR="00E8533F">
        <w:rPr>
          <w:rFonts w:ascii="Century Gothic" w:hAnsi="Century Gothic"/>
          <w:b w:val="0"/>
          <w:color w:val="000000" w:themeColor="text1"/>
          <w:lang w:val="en-AU"/>
        </w:rPr>
        <w:t xml:space="preserve"> or 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>disputes</w:t>
      </w:r>
      <w:r w:rsidR="00E8533F">
        <w:rPr>
          <w:rFonts w:ascii="Century Gothic" w:hAnsi="Century Gothic"/>
          <w:b w:val="0"/>
          <w:color w:val="000000" w:themeColor="text1"/>
          <w:lang w:val="en-AU"/>
        </w:rPr>
        <w:t>,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 and </w:t>
      </w:r>
      <w:r w:rsidR="00F67907">
        <w:rPr>
          <w:rFonts w:ascii="Century Gothic" w:hAnsi="Century Gothic"/>
          <w:b w:val="0"/>
          <w:color w:val="000000" w:themeColor="text1"/>
          <w:lang w:val="en-AU"/>
        </w:rPr>
        <w:t xml:space="preserve">to 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assist </w:t>
      </w:r>
      <w:r w:rsidR="00F67907">
        <w:rPr>
          <w:rFonts w:ascii="Century Gothic" w:hAnsi="Century Gothic"/>
          <w:b w:val="0"/>
          <w:color w:val="000000" w:themeColor="text1"/>
          <w:lang w:val="en-AU"/>
        </w:rPr>
        <w:t>them</w:t>
      </w:r>
      <w:r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 to resolve academic and welfare matters. </w:t>
      </w:r>
    </w:p>
    <w:p w14:paraId="32BBB57A" w14:textId="448D6F08" w:rsidR="00F67907" w:rsidRDefault="00F67907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2.3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A128E3"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The </w:t>
      </w:r>
      <w:r>
        <w:rPr>
          <w:rFonts w:ascii="Century Gothic" w:hAnsi="Century Gothic"/>
          <w:b w:val="0"/>
          <w:color w:val="000000" w:themeColor="text1"/>
          <w:lang w:val="en-AU"/>
        </w:rPr>
        <w:t>service</w:t>
      </w:r>
      <w:r w:rsidR="00A128E3"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 operates 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with</w:t>
      </w:r>
      <w:r w:rsidR="00A128E3" w:rsidRPr="00A128E3">
        <w:rPr>
          <w:rFonts w:ascii="Century Gothic" w:hAnsi="Century Gothic"/>
          <w:b w:val="0"/>
          <w:color w:val="000000" w:themeColor="text1"/>
          <w:lang w:val="en-AU"/>
        </w:rPr>
        <w:t>in a framework of support and respect for the student’s ability to make decisions in light of their own beliefs and values.</w:t>
      </w:r>
    </w:p>
    <w:p w14:paraId="27951C65" w14:textId="096FEFE3" w:rsidR="00F67907" w:rsidRDefault="00F67907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2.4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A128E3"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The service provides confidential one-to-one advocacy for individual students, as well as providing input and feedback to 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inform </w:t>
      </w:r>
      <w:r>
        <w:rPr>
          <w:rFonts w:ascii="Century Gothic" w:hAnsi="Century Gothic"/>
          <w:b w:val="0"/>
          <w:color w:val="000000" w:themeColor="text1"/>
          <w:lang w:val="en-AU"/>
        </w:rPr>
        <w:t>SUPRA</w:t>
      </w:r>
      <w:r w:rsidR="00A128E3" w:rsidRPr="00A128E3">
        <w:rPr>
          <w:rFonts w:ascii="Century Gothic" w:hAnsi="Century Gothic"/>
          <w:b w:val="0"/>
          <w:color w:val="000000" w:themeColor="text1"/>
          <w:lang w:val="en-AU"/>
        </w:rPr>
        <w:t xml:space="preserve">’s broader advocacy imperatives. </w:t>
      </w:r>
    </w:p>
    <w:p w14:paraId="25F7A32C" w14:textId="0BE5CEFD" w:rsidR="00F67907" w:rsidRDefault="00F67907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sz w:val="28"/>
          <w:szCs w:val="28"/>
          <w:lang w:val="en-AU"/>
        </w:rPr>
      </w:pPr>
    </w:p>
    <w:p w14:paraId="0A4282C0" w14:textId="349EB420" w:rsidR="00D64753" w:rsidRDefault="00D64753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sz w:val="28"/>
          <w:szCs w:val="28"/>
          <w:lang w:val="en-AU"/>
        </w:rPr>
      </w:pPr>
    </w:p>
    <w:p w14:paraId="47710831" w14:textId="77777777" w:rsidR="00D64753" w:rsidRPr="00A53561" w:rsidRDefault="00D64753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sz w:val="28"/>
          <w:szCs w:val="28"/>
          <w:lang w:val="en-AU"/>
        </w:rPr>
      </w:pPr>
    </w:p>
    <w:p w14:paraId="60A140FB" w14:textId="12DFA817" w:rsidR="00716CC0" w:rsidRPr="00884903" w:rsidRDefault="00716CC0" w:rsidP="00716CC0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lastRenderedPageBreak/>
        <w:t>3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Postgraduate Advocate and Policy Officers</w:t>
      </w:r>
    </w:p>
    <w:p w14:paraId="0FB22767" w14:textId="77777777" w:rsidR="00F67907" w:rsidRDefault="00F67907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</w:p>
    <w:p w14:paraId="1F5B0EA9" w14:textId="5F35322A" w:rsidR="00A128E3" w:rsidRPr="00A128E3" w:rsidRDefault="00237B80" w:rsidP="00A128E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3</w:t>
      </w:r>
      <w:r w:rsidR="00716CC0">
        <w:rPr>
          <w:rFonts w:ascii="Century Gothic" w:hAnsi="Century Gothic"/>
          <w:b w:val="0"/>
          <w:color w:val="000000" w:themeColor="text1"/>
          <w:lang w:val="en-AU"/>
        </w:rPr>
        <w:t>.1</w:t>
      </w:r>
      <w:r w:rsidR="00716CC0">
        <w:rPr>
          <w:rFonts w:ascii="Century Gothic" w:hAnsi="Century Gothic"/>
          <w:b w:val="0"/>
          <w:color w:val="000000" w:themeColor="text1"/>
          <w:lang w:val="en-AU"/>
        </w:rPr>
        <w:tab/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Within SUPRA’s 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>organisational objectives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, 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values, 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and 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>reasonable capacity to provide service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, </w:t>
      </w:r>
      <w:r w:rsidR="009D6E79">
        <w:rPr>
          <w:rFonts w:ascii="Century Gothic" w:hAnsi="Century Gothic"/>
          <w:b w:val="0"/>
          <w:color w:val="000000" w:themeColor="text1"/>
          <w:lang w:val="en-AU"/>
        </w:rPr>
        <w:t>SUPRA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employs 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caseworkers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 to assist students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.</w:t>
      </w:r>
    </w:p>
    <w:p w14:paraId="5794FBA0" w14:textId="7364365A" w:rsidR="00716CC0" w:rsidRDefault="00CE751E" w:rsidP="00716CC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3.2</w:t>
      </w:r>
      <w:r>
        <w:rPr>
          <w:rFonts w:ascii="Century Gothic" w:hAnsi="Century Gothic"/>
          <w:b w:val="0"/>
          <w:color w:val="000000" w:themeColor="text1"/>
          <w:lang w:val="en-AU"/>
        </w:rPr>
        <w:tab/>
        <w:t>Caseworkers shall:</w:t>
      </w:r>
    </w:p>
    <w:p w14:paraId="55DE2082" w14:textId="00E28075" w:rsidR="00716CC0" w:rsidRDefault="00716CC0" w:rsidP="00716CC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a</w:t>
      </w:r>
      <w:r>
        <w:rPr>
          <w:rFonts w:ascii="Century Gothic" w:hAnsi="Century Gothic"/>
          <w:b w:val="0"/>
          <w:color w:val="000000" w:themeColor="text1"/>
          <w:lang w:val="en-AU"/>
        </w:rPr>
        <w:t>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716CC0">
        <w:rPr>
          <w:rFonts w:ascii="Century Gothic" w:hAnsi="Century Gothic"/>
          <w:b w:val="0"/>
          <w:color w:val="000000" w:themeColor="text1"/>
          <w:lang w:val="en-AU"/>
        </w:rPr>
        <w:t>provide accurate, timely</w:t>
      </w:r>
      <w:r w:rsidR="00D527F4">
        <w:rPr>
          <w:rFonts w:ascii="Century Gothic" w:hAnsi="Century Gothic"/>
          <w:b w:val="0"/>
          <w:color w:val="000000" w:themeColor="text1"/>
          <w:lang w:val="en-AU"/>
        </w:rPr>
        <w:t>,</w:t>
      </w:r>
      <w:r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 and appropriate advice and advocacy services</w:t>
      </w:r>
      <w:r w:rsidR="00CE751E" w:rsidRPr="00CE751E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 w:rsidR="00CE751E" w:rsidRPr="00716CC0">
        <w:rPr>
          <w:rFonts w:ascii="Century Gothic" w:hAnsi="Century Gothic"/>
          <w:b w:val="0"/>
          <w:color w:val="000000" w:themeColor="text1"/>
          <w:lang w:val="en-AU"/>
        </w:rPr>
        <w:t>to the best of their ability, and within the limits of SUPRA’s resources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6301A4AE" w14:textId="2AB66857" w:rsidR="00716CC0" w:rsidRDefault="00716CC0" w:rsidP="00716CC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b</w:t>
      </w:r>
      <w:r>
        <w:rPr>
          <w:rFonts w:ascii="Century Gothic" w:hAnsi="Century Gothic"/>
          <w:b w:val="0"/>
          <w:color w:val="000000" w:themeColor="text1"/>
          <w:lang w:val="en-AU"/>
        </w:rPr>
        <w:t>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716CC0">
        <w:rPr>
          <w:rFonts w:ascii="Century Gothic" w:hAnsi="Century Gothic"/>
          <w:b w:val="0"/>
          <w:color w:val="000000" w:themeColor="text1"/>
          <w:lang w:val="en-AU"/>
        </w:rPr>
        <w:t>respect the student’s right to self-determination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6D59747A" w14:textId="4715220E" w:rsidR="00CE751E" w:rsidRDefault="00716CC0" w:rsidP="00716CC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c</w:t>
      </w:r>
      <w:r>
        <w:rPr>
          <w:rFonts w:ascii="Century Gothic" w:hAnsi="Century Gothic"/>
          <w:b w:val="0"/>
          <w:color w:val="000000" w:themeColor="text1"/>
          <w:lang w:val="en-AU"/>
        </w:rPr>
        <w:t>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work within the stated </w:t>
      </w:r>
      <w:r w:rsidR="00A23986">
        <w:rPr>
          <w:rFonts w:ascii="Century Gothic" w:hAnsi="Century Gothic"/>
          <w:b w:val="0"/>
          <w:color w:val="000000" w:themeColor="text1"/>
          <w:lang w:val="en-AU"/>
        </w:rPr>
        <w:t>objects and principles</w:t>
      </w:r>
      <w:r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 of SUPRA</w:t>
      </w:r>
      <w:r w:rsidR="00CE751E"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7B74024C" w14:textId="77777777" w:rsidR="00CE751E" w:rsidRDefault="00CE751E" w:rsidP="00716CC0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d)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16CC0" w:rsidRPr="00716CC0">
        <w:rPr>
          <w:rFonts w:ascii="Century Gothic" w:hAnsi="Century Gothic"/>
          <w:b w:val="0"/>
          <w:color w:val="000000" w:themeColor="text1"/>
          <w:lang w:val="en-AU"/>
        </w:rPr>
        <w:t>contribute to the development of casework policy and other relevant policies</w:t>
      </w:r>
      <w:r>
        <w:rPr>
          <w:rFonts w:ascii="Century Gothic" w:hAnsi="Century Gothic"/>
          <w:b w:val="0"/>
          <w:color w:val="000000" w:themeColor="text1"/>
          <w:lang w:val="en-AU"/>
        </w:rPr>
        <w:t>;</w:t>
      </w:r>
      <w:r w:rsidR="00716CC0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 and </w:t>
      </w:r>
    </w:p>
    <w:p w14:paraId="48760F14" w14:textId="70ED7239" w:rsidR="007E34FB" w:rsidRDefault="00CE751E" w:rsidP="007953E4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e)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716CC0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work towards the best possible standards of service to </w:t>
      </w:r>
      <w:r>
        <w:rPr>
          <w:rFonts w:ascii="Century Gothic" w:hAnsi="Century Gothic"/>
          <w:b w:val="0"/>
          <w:color w:val="000000" w:themeColor="text1"/>
          <w:lang w:val="en-AU"/>
        </w:rPr>
        <w:t>SUPRA</w:t>
      </w:r>
      <w:r w:rsidR="00716CC0" w:rsidRPr="00716CC0">
        <w:rPr>
          <w:rFonts w:ascii="Century Gothic" w:hAnsi="Century Gothic"/>
          <w:b w:val="0"/>
          <w:color w:val="000000" w:themeColor="text1"/>
          <w:lang w:val="en-AU"/>
        </w:rPr>
        <w:t xml:space="preserve"> members.</w:t>
      </w:r>
    </w:p>
    <w:p w14:paraId="6043F5BB" w14:textId="77777777" w:rsidR="007953E4" w:rsidRPr="007953E4" w:rsidRDefault="007953E4" w:rsidP="007953E4">
      <w:pPr>
        <w:pStyle w:val="Heading1"/>
        <w:tabs>
          <w:tab w:val="left" w:pos="851"/>
          <w:tab w:val="left" w:pos="993"/>
          <w:tab w:val="left" w:pos="1701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sz w:val="28"/>
          <w:szCs w:val="28"/>
          <w:lang w:val="en-AU"/>
        </w:rPr>
      </w:pPr>
    </w:p>
    <w:p w14:paraId="55875A7F" w14:textId="77777777" w:rsidR="00005D13" w:rsidRPr="00884903" w:rsidRDefault="00005D13" w:rsidP="00005D1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4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.</w:t>
      </w:r>
      <w:r w:rsidRPr="00884903"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ab/>
      </w:r>
      <w:r>
        <w:rPr>
          <w:rFonts w:ascii="Century Gothic" w:hAnsi="Century Gothic"/>
          <w:color w:val="000000" w:themeColor="text1"/>
          <w:sz w:val="28"/>
          <w:szCs w:val="28"/>
          <w:u w:val="single"/>
          <w:lang w:val="en-AU"/>
        </w:rPr>
        <w:t>Conduct</w:t>
      </w:r>
    </w:p>
    <w:p w14:paraId="44A7A030" w14:textId="77777777" w:rsidR="00005D13" w:rsidRPr="00884903" w:rsidRDefault="00005D13" w:rsidP="00005D1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lang w:val="en-AU"/>
        </w:rPr>
      </w:pPr>
    </w:p>
    <w:p w14:paraId="1827770B" w14:textId="77777777" w:rsidR="007953E4" w:rsidRDefault="00005D13" w:rsidP="00005D13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4</w:t>
      </w:r>
      <w:r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.1</w:t>
      </w:r>
      <w:r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Caseworkers must</w:t>
      </w:r>
      <w:r w:rsidR="007953E4">
        <w:rPr>
          <w:rFonts w:ascii="Century Gothic" w:hAnsi="Century Gothic"/>
          <w:b w:val="0"/>
          <w:bCs w:val="0"/>
          <w:color w:val="000000" w:themeColor="text1"/>
          <w:lang w:val="en-AU"/>
        </w:rPr>
        <w:t>:</w:t>
      </w:r>
    </w:p>
    <w:p w14:paraId="6DB93A69" w14:textId="709EC259" w:rsidR="00005D13" w:rsidRDefault="007953E4" w:rsidP="007953E4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maintain a high standard of professional and personal conduct whilst assisting students and providing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advice 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and advocacy services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1592B231" w14:textId="10B567A6" w:rsidR="007953E4" w:rsidRDefault="007953E4" w:rsidP="007953E4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b)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act with integrity and impartiality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2616AFB0" w14:textId="6D1E022E" w:rsidR="00CC392A" w:rsidRDefault="007953E4" w:rsidP="007953E4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c)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CC392A">
        <w:rPr>
          <w:rFonts w:ascii="Century Gothic" w:hAnsi="Century Gothic"/>
          <w:b w:val="0"/>
          <w:bCs w:val="0"/>
          <w:color w:val="000000" w:themeColor="text1"/>
          <w:lang w:val="en-AU"/>
        </w:rPr>
        <w:t>use</w:t>
      </w:r>
      <w:r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accountable and transparent processes</w:t>
      </w:r>
      <w:r w:rsidR="00CC392A">
        <w:rPr>
          <w:rFonts w:ascii="Century Gothic" w:hAnsi="Century Gothic"/>
          <w:b w:val="0"/>
          <w:bCs w:val="0"/>
          <w:color w:val="000000" w:themeColor="text1"/>
          <w:lang w:val="en-AU"/>
        </w:rPr>
        <w:t>;</w:t>
      </w:r>
    </w:p>
    <w:p w14:paraId="1A560BAC" w14:textId="3C43D9BC" w:rsidR="007953E4" w:rsidRDefault="00CC392A" w:rsidP="007953E4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bCs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d)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="007953E4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adher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e</w:t>
      </w:r>
      <w:r w:rsidR="007953E4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to established protocols and procedures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; and</w:t>
      </w:r>
    </w:p>
    <w:p w14:paraId="1204D7B1" w14:textId="0A3D824C" w:rsidR="00CC392A" w:rsidRDefault="00CC392A" w:rsidP="00CC392A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  <w:t>e)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ab/>
      </w:r>
      <w:r w:rsidRPr="002F26D1">
        <w:rPr>
          <w:rFonts w:ascii="Century Gothic" w:hAnsi="Century Gothic"/>
          <w:b w:val="0"/>
          <w:color w:val="000000" w:themeColor="text1"/>
          <w:lang w:val="en-AU"/>
        </w:rPr>
        <w:t>actively work with and facilitate the participation of disadvantaged groups.</w:t>
      </w:r>
    </w:p>
    <w:p w14:paraId="027741BA" w14:textId="3E777F09" w:rsidR="00CC392A" w:rsidRDefault="00005D13" w:rsidP="00CC392A">
      <w:pPr>
        <w:pStyle w:val="Heading1"/>
        <w:tabs>
          <w:tab w:val="left" w:pos="851"/>
          <w:tab w:val="left" w:pos="993"/>
        </w:tabs>
        <w:spacing w:before="120" w:after="120"/>
        <w:ind w:left="851" w:hanging="851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>4.2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CC392A">
        <w:rPr>
          <w:rFonts w:ascii="Century Gothic" w:hAnsi="Century Gothic"/>
          <w:b w:val="0"/>
          <w:color w:val="000000" w:themeColor="text1"/>
          <w:lang w:val="en-AU"/>
        </w:rPr>
        <w:t>Caseworkers will not:</w:t>
      </w:r>
    </w:p>
    <w:p w14:paraId="72E989EC" w14:textId="77777777" w:rsidR="00CC392A" w:rsidRDefault="00CC392A" w:rsidP="00CC392A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a)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005D13" w:rsidRPr="002F26D1">
        <w:rPr>
          <w:rFonts w:ascii="Century Gothic" w:hAnsi="Century Gothic"/>
          <w:b w:val="0"/>
          <w:color w:val="000000" w:themeColor="text1"/>
          <w:lang w:val="en-AU"/>
        </w:rPr>
        <w:t>discriminate against students on any grounds</w:t>
      </w:r>
      <w:r>
        <w:rPr>
          <w:rFonts w:ascii="Century Gothic" w:hAnsi="Century Gothic"/>
          <w:b w:val="0"/>
          <w:color w:val="000000" w:themeColor="text1"/>
          <w:lang w:val="en-AU"/>
        </w:rPr>
        <w:t xml:space="preserve"> set out in the</w:t>
      </w:r>
      <w:r w:rsidR="00005D13" w:rsidRPr="002F26D1">
        <w:rPr>
          <w:rFonts w:ascii="Century Gothic" w:hAnsi="Century Gothic"/>
          <w:b w:val="0"/>
          <w:color w:val="000000" w:themeColor="text1"/>
          <w:lang w:val="en-AU"/>
        </w:rPr>
        <w:t xml:space="preserve"> </w:t>
      </w:r>
      <w:r>
        <w:rPr>
          <w:rFonts w:ascii="Century Gothic" w:hAnsi="Century Gothic"/>
          <w:b w:val="0"/>
          <w:color w:val="000000" w:themeColor="text1"/>
          <w:lang w:val="en-AU"/>
        </w:rPr>
        <w:t>Safer Spaces Policy;</w:t>
      </w:r>
    </w:p>
    <w:p w14:paraId="61B38088" w14:textId="6FBD4BF2" w:rsidR="00005D13" w:rsidRDefault="00CC392A" w:rsidP="00CC392A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b)</w:t>
      </w:r>
      <w:r>
        <w:rPr>
          <w:rFonts w:ascii="Century Gothic" w:hAnsi="Century Gothic"/>
          <w:b w:val="0"/>
          <w:color w:val="000000" w:themeColor="text1"/>
          <w:lang w:val="en-AU"/>
        </w:rPr>
        <w:tab/>
        <w:t>provide any services i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f their ability to do so is impaired.  This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includes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, but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is 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not limited to,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any 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impairment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resulting from 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alcohol or drugs, or </w:t>
      </w:r>
      <w:r w:rsidR="008E568A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a 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personal </w:t>
      </w:r>
      <w:r w:rsidR="008E568A">
        <w:rPr>
          <w:rFonts w:ascii="Century Gothic" w:hAnsi="Century Gothic"/>
          <w:b w:val="0"/>
          <w:bCs w:val="0"/>
          <w:color w:val="000000" w:themeColor="text1"/>
          <w:lang w:val="en-AU"/>
        </w:rPr>
        <w:t>conflict of interest which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 xml:space="preserve"> may affect the 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c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aseworker</w:t>
      </w:r>
      <w:r>
        <w:rPr>
          <w:rFonts w:ascii="Century Gothic" w:hAnsi="Century Gothic"/>
          <w:b w:val="0"/>
          <w:bCs w:val="0"/>
          <w:color w:val="000000" w:themeColor="text1"/>
          <w:lang w:val="en-AU"/>
        </w:rPr>
        <w:t>’</w:t>
      </w:r>
      <w:r w:rsidR="00005D13" w:rsidRPr="002F26D1">
        <w:rPr>
          <w:rFonts w:ascii="Century Gothic" w:hAnsi="Century Gothic"/>
          <w:b w:val="0"/>
          <w:bCs w:val="0"/>
          <w:color w:val="000000" w:themeColor="text1"/>
          <w:lang w:val="en-AU"/>
        </w:rPr>
        <w:t>s capacity or impartiality</w:t>
      </w:r>
      <w:r>
        <w:rPr>
          <w:rFonts w:ascii="Century Gothic" w:hAnsi="Century Gothic"/>
          <w:b w:val="0"/>
          <w:color w:val="000000" w:themeColor="text1"/>
          <w:lang w:val="en-AU"/>
        </w:rPr>
        <w:t>;</w:t>
      </w:r>
    </w:p>
    <w:p w14:paraId="2A814BC9" w14:textId="77777777" w:rsidR="00CC392A" w:rsidRDefault="00CC392A" w:rsidP="00CC392A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c)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005D13" w:rsidRPr="002F26D1">
        <w:rPr>
          <w:rFonts w:ascii="Century Gothic" w:hAnsi="Century Gothic"/>
          <w:b w:val="0"/>
          <w:color w:val="000000" w:themeColor="text1"/>
          <w:lang w:val="en-AU"/>
        </w:rPr>
        <w:t>exploit relationships with students or professional relationships for personal advantage</w:t>
      </w:r>
      <w:r>
        <w:rPr>
          <w:rFonts w:ascii="Century Gothic" w:hAnsi="Century Gothic"/>
          <w:b w:val="0"/>
          <w:color w:val="000000" w:themeColor="text1"/>
          <w:lang w:val="en-AU"/>
        </w:rPr>
        <w:t>; or</w:t>
      </w:r>
    </w:p>
    <w:p w14:paraId="3E56D505" w14:textId="15C4E5DE" w:rsidR="00005D13" w:rsidRDefault="00CC392A" w:rsidP="00CC392A">
      <w:pPr>
        <w:pStyle w:val="Heading1"/>
        <w:tabs>
          <w:tab w:val="left" w:pos="851"/>
          <w:tab w:val="left" w:pos="993"/>
        </w:tabs>
        <w:spacing w:before="120" w:after="120"/>
        <w:ind w:left="1440" w:hanging="1440"/>
        <w:rPr>
          <w:rFonts w:ascii="Century Gothic" w:hAnsi="Century Gothic"/>
          <w:b w:val="0"/>
          <w:color w:val="000000" w:themeColor="text1"/>
          <w:lang w:val="en-AU"/>
        </w:rPr>
      </w:pPr>
      <w:r>
        <w:rPr>
          <w:rFonts w:ascii="Century Gothic" w:hAnsi="Century Gothic"/>
          <w:b w:val="0"/>
          <w:color w:val="000000" w:themeColor="text1"/>
          <w:lang w:val="en-AU"/>
        </w:rPr>
        <w:tab/>
        <w:t>d)</w:t>
      </w:r>
      <w:r>
        <w:rPr>
          <w:rFonts w:ascii="Century Gothic" w:hAnsi="Century Gothic"/>
          <w:b w:val="0"/>
          <w:color w:val="000000" w:themeColor="text1"/>
          <w:lang w:val="en-AU"/>
        </w:rPr>
        <w:tab/>
      </w:r>
      <w:r w:rsidR="00005D13" w:rsidRPr="002F26D1">
        <w:rPr>
          <w:rFonts w:ascii="Century Gothic" w:hAnsi="Century Gothic"/>
          <w:b w:val="0"/>
          <w:color w:val="000000" w:themeColor="text1"/>
          <w:lang w:val="en-AU"/>
        </w:rPr>
        <w:t>use unethical processes.</w:t>
      </w:r>
    </w:p>
    <w:p w14:paraId="474F7980" w14:textId="77777777" w:rsidR="00005D13" w:rsidRPr="00005D13" w:rsidRDefault="00005D13" w:rsidP="00005D1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b w:val="0"/>
          <w:bCs w:val="0"/>
          <w:color w:val="000000" w:themeColor="text1"/>
          <w:sz w:val="28"/>
          <w:szCs w:val="28"/>
          <w:lang w:val="en-AU"/>
        </w:rPr>
      </w:pPr>
    </w:p>
    <w:p w14:paraId="5081DFFE" w14:textId="057AECBC" w:rsidR="007E34FB" w:rsidRPr="007A5F76" w:rsidRDefault="00005D13" w:rsidP="00005D13">
      <w:pPr>
        <w:pStyle w:val="Heading1"/>
        <w:tabs>
          <w:tab w:val="left" w:pos="851"/>
          <w:tab w:val="left" w:pos="993"/>
        </w:tabs>
        <w:spacing w:before="120" w:after="120"/>
        <w:ind w:left="0" w:firstLine="0"/>
        <w:rPr>
          <w:rFonts w:ascii="Century Gothic" w:hAnsi="Century Gothic"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color w:val="000000" w:themeColor="text1"/>
          <w:sz w:val="28"/>
          <w:szCs w:val="28"/>
          <w:u w:val="single"/>
        </w:rPr>
        <w:t>5</w:t>
      </w:r>
      <w:r w:rsidR="007E34FB">
        <w:rPr>
          <w:rFonts w:ascii="Century Gothic" w:hAnsi="Century Gothic"/>
          <w:color w:val="000000" w:themeColor="text1"/>
          <w:sz w:val="28"/>
          <w:szCs w:val="28"/>
          <w:u w:val="single"/>
        </w:rPr>
        <w:t>.</w:t>
      </w:r>
      <w:r w:rsidR="007E34FB">
        <w:rPr>
          <w:rFonts w:ascii="Century Gothic" w:hAnsi="Century Gothic"/>
          <w:color w:val="000000" w:themeColor="text1"/>
          <w:sz w:val="28"/>
          <w:szCs w:val="28"/>
          <w:u w:val="single"/>
        </w:rPr>
        <w:tab/>
        <w:t>Procedures</w:t>
      </w:r>
    </w:p>
    <w:p w14:paraId="217AF3DC" w14:textId="77777777" w:rsidR="007E34FB" w:rsidRPr="007A5F76" w:rsidRDefault="007E34FB" w:rsidP="007E34FB">
      <w:pPr>
        <w:pStyle w:val="BodyText"/>
        <w:tabs>
          <w:tab w:val="left" w:pos="993"/>
        </w:tabs>
        <w:spacing w:before="120" w:after="120"/>
        <w:rPr>
          <w:rFonts w:eastAsia="Century Gothic Bold" w:cs="Century Gothic Bold"/>
          <w:bCs/>
          <w:color w:val="000000" w:themeColor="text1"/>
        </w:rPr>
      </w:pPr>
    </w:p>
    <w:p w14:paraId="04E9F792" w14:textId="4EF3F744" w:rsidR="007E34FB" w:rsidRPr="005E7448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sz w:val="42"/>
        </w:rPr>
      </w:pPr>
      <w:r>
        <w:rPr>
          <w:rFonts w:eastAsia="Century Gothic Bold" w:cs="Century Gothic Bold"/>
          <w:bCs/>
          <w:color w:val="000000" w:themeColor="text1"/>
        </w:rPr>
        <w:t>5.</w:t>
      </w:r>
      <w:r w:rsidR="007E34FB" w:rsidRPr="007A5F76">
        <w:rPr>
          <w:rFonts w:eastAsia="Century Gothic Bold" w:cs="Century Gothic Bold"/>
          <w:bCs/>
          <w:color w:val="000000" w:themeColor="text1"/>
        </w:rPr>
        <w:t>1</w:t>
      </w:r>
      <w:r w:rsidR="007E34FB" w:rsidRPr="007A5F76">
        <w:rPr>
          <w:color w:val="000000" w:themeColor="text1"/>
          <w:sz w:val="42"/>
        </w:rPr>
        <w:tab/>
      </w:r>
      <w:r w:rsidR="007E34FB">
        <w:rPr>
          <w:color w:val="000000" w:themeColor="text1"/>
          <w:w w:val="105"/>
        </w:rPr>
        <w:t xml:space="preserve">The procedures set out </w:t>
      </w:r>
      <w:r>
        <w:rPr>
          <w:color w:val="000000" w:themeColor="text1"/>
          <w:w w:val="105"/>
        </w:rPr>
        <w:t xml:space="preserve">how </w:t>
      </w:r>
      <w:r w:rsidR="007E34FB">
        <w:rPr>
          <w:color w:val="000000" w:themeColor="text1"/>
          <w:w w:val="105"/>
        </w:rPr>
        <w:t xml:space="preserve">SUPRA will </w:t>
      </w:r>
      <w:r>
        <w:rPr>
          <w:color w:val="000000" w:themeColor="text1"/>
          <w:w w:val="105"/>
        </w:rPr>
        <w:t>operate the postgraduate advocacy service</w:t>
      </w:r>
      <w:r w:rsidR="007E34FB">
        <w:rPr>
          <w:color w:val="000000" w:themeColor="text1"/>
          <w:w w:val="105"/>
        </w:rPr>
        <w:t xml:space="preserve">. </w:t>
      </w:r>
    </w:p>
    <w:p w14:paraId="1ECB5BCE" w14:textId="03844965" w:rsidR="007E34FB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5</w:t>
      </w:r>
      <w:r w:rsidR="007E34FB" w:rsidRPr="007A5F76">
        <w:rPr>
          <w:color w:val="000000" w:themeColor="text1"/>
          <w:w w:val="105"/>
        </w:rPr>
        <w:t>.2</w:t>
      </w:r>
      <w:r w:rsidR="007E34FB" w:rsidRPr="007A5F76">
        <w:rPr>
          <w:color w:val="000000" w:themeColor="text1"/>
          <w:w w:val="105"/>
        </w:rPr>
        <w:tab/>
        <w:t>The</w:t>
      </w:r>
      <w:r w:rsidR="007E34FB">
        <w:rPr>
          <w:color w:val="000000" w:themeColor="text1"/>
          <w:w w:val="105"/>
        </w:rPr>
        <w:t xml:space="preserve"> procedures</w:t>
      </w:r>
      <w:r w:rsidR="007E34FB" w:rsidRPr="007A5F76">
        <w:rPr>
          <w:color w:val="000000" w:themeColor="text1"/>
          <w:w w:val="105"/>
        </w:rPr>
        <w:t xml:space="preserve"> </w:t>
      </w:r>
      <w:r w:rsidR="007E34FB">
        <w:rPr>
          <w:color w:val="000000" w:themeColor="text1"/>
          <w:w w:val="105"/>
        </w:rPr>
        <w:t xml:space="preserve">also contain information on how to make a complaint about </w:t>
      </w:r>
      <w:r>
        <w:rPr>
          <w:color w:val="000000" w:themeColor="text1"/>
          <w:w w:val="105"/>
        </w:rPr>
        <w:t>the service</w:t>
      </w:r>
      <w:r w:rsidR="007E34FB">
        <w:rPr>
          <w:color w:val="000000" w:themeColor="text1"/>
          <w:w w:val="105"/>
        </w:rPr>
        <w:t>.</w:t>
      </w:r>
    </w:p>
    <w:p w14:paraId="7A8DB76A" w14:textId="0D29C937" w:rsidR="007E34FB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5</w:t>
      </w:r>
      <w:r w:rsidR="007E34FB">
        <w:rPr>
          <w:color w:val="000000" w:themeColor="text1"/>
          <w:w w:val="105"/>
        </w:rPr>
        <w:t>.3</w:t>
      </w:r>
      <w:r w:rsidR="007E34FB">
        <w:rPr>
          <w:color w:val="000000" w:themeColor="text1"/>
          <w:w w:val="105"/>
        </w:rPr>
        <w:tab/>
        <w:t xml:space="preserve">The </w:t>
      </w:r>
      <w:r>
        <w:rPr>
          <w:color w:val="000000" w:themeColor="text1"/>
          <w:w w:val="105"/>
        </w:rPr>
        <w:t xml:space="preserve">casework coordinator </w:t>
      </w:r>
      <w:r w:rsidR="00A3515C">
        <w:rPr>
          <w:color w:val="000000" w:themeColor="text1"/>
          <w:w w:val="105"/>
        </w:rPr>
        <w:t>as the nominee of</w:t>
      </w:r>
      <w:r w:rsidR="007E34FB">
        <w:rPr>
          <w:color w:val="000000" w:themeColor="text1"/>
          <w:w w:val="105"/>
        </w:rPr>
        <w:t xml:space="preserve"> the </w:t>
      </w:r>
      <w:r>
        <w:rPr>
          <w:color w:val="000000" w:themeColor="text1"/>
          <w:w w:val="105"/>
        </w:rPr>
        <w:t>President</w:t>
      </w:r>
      <w:r w:rsidR="00A3515C">
        <w:rPr>
          <w:color w:val="000000" w:themeColor="text1"/>
          <w:w w:val="105"/>
        </w:rPr>
        <w:t xml:space="preserve"> </w:t>
      </w:r>
      <w:r w:rsidR="007E34FB">
        <w:rPr>
          <w:color w:val="000000" w:themeColor="text1"/>
          <w:w w:val="105"/>
        </w:rPr>
        <w:t xml:space="preserve">will </w:t>
      </w:r>
      <w:r w:rsidR="00D527F4">
        <w:rPr>
          <w:color w:val="000000" w:themeColor="text1"/>
          <w:w w:val="105"/>
        </w:rPr>
        <w:t xml:space="preserve">administer </w:t>
      </w:r>
      <w:r w:rsidR="007E34FB">
        <w:rPr>
          <w:color w:val="000000" w:themeColor="text1"/>
          <w:w w:val="105"/>
        </w:rPr>
        <w:t xml:space="preserve">the procedures </w:t>
      </w:r>
      <w:r w:rsidR="00D527F4">
        <w:rPr>
          <w:color w:val="000000" w:themeColor="text1"/>
          <w:w w:val="105"/>
        </w:rPr>
        <w:t xml:space="preserve">to keep them </w:t>
      </w:r>
      <w:r w:rsidR="007E34FB">
        <w:rPr>
          <w:color w:val="000000" w:themeColor="text1"/>
          <w:w w:val="105"/>
        </w:rPr>
        <w:t>current.</w:t>
      </w:r>
    </w:p>
    <w:p w14:paraId="29C24596" w14:textId="028ECEFB" w:rsidR="007E34FB" w:rsidRPr="005C5E78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5</w:t>
      </w:r>
      <w:r w:rsidR="007E34FB">
        <w:rPr>
          <w:color w:val="000000" w:themeColor="text1"/>
          <w:w w:val="105"/>
        </w:rPr>
        <w:t>.4</w:t>
      </w:r>
      <w:r w:rsidR="007E34FB">
        <w:rPr>
          <w:color w:val="000000" w:themeColor="text1"/>
          <w:w w:val="105"/>
        </w:rPr>
        <w:tab/>
        <w:t>Any breaches of the procedures</w:t>
      </w:r>
      <w:r>
        <w:rPr>
          <w:color w:val="000000" w:themeColor="text1"/>
          <w:w w:val="105"/>
        </w:rPr>
        <w:t xml:space="preserve"> </w:t>
      </w:r>
      <w:r w:rsidR="007E34FB" w:rsidRPr="005C5E78">
        <w:rPr>
          <w:color w:val="000000" w:themeColor="text1"/>
          <w:w w:val="105"/>
        </w:rPr>
        <w:t xml:space="preserve">should be reported to the </w:t>
      </w:r>
      <w:r>
        <w:rPr>
          <w:color w:val="000000" w:themeColor="text1"/>
          <w:w w:val="105"/>
        </w:rPr>
        <w:t>casework coordinator in the first instance</w:t>
      </w:r>
      <w:r w:rsidR="007E34FB" w:rsidRPr="005C5E78">
        <w:rPr>
          <w:color w:val="000000" w:themeColor="text1"/>
          <w:w w:val="105"/>
        </w:rPr>
        <w:t>.</w:t>
      </w:r>
    </w:p>
    <w:p w14:paraId="4D863CBF" w14:textId="77777777" w:rsidR="00005D13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5</w:t>
      </w:r>
      <w:r w:rsidR="007E34FB" w:rsidRPr="005C5E78">
        <w:rPr>
          <w:color w:val="000000" w:themeColor="text1"/>
          <w:w w:val="105"/>
        </w:rPr>
        <w:t>.5</w:t>
      </w:r>
      <w:r w:rsidR="007E34FB" w:rsidRPr="005C5E78">
        <w:rPr>
          <w:color w:val="000000" w:themeColor="text1"/>
          <w:w w:val="105"/>
        </w:rPr>
        <w:tab/>
      </w:r>
      <w:r>
        <w:rPr>
          <w:color w:val="000000" w:themeColor="text1"/>
          <w:w w:val="105"/>
        </w:rPr>
        <w:t>Any breaches of the procedures by the casework coordinator should be reported to the President.</w:t>
      </w:r>
    </w:p>
    <w:p w14:paraId="1CF44A82" w14:textId="2D749836" w:rsidR="007E34FB" w:rsidRPr="00500118" w:rsidRDefault="00005D13" w:rsidP="007E34FB">
      <w:pPr>
        <w:pStyle w:val="BodyText"/>
        <w:tabs>
          <w:tab w:val="left" w:pos="851"/>
          <w:tab w:val="left" w:pos="993"/>
        </w:tabs>
        <w:spacing w:before="120" w:after="120"/>
        <w:ind w:left="851" w:hanging="851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5.6</w:t>
      </w:r>
      <w:r>
        <w:rPr>
          <w:color w:val="000000" w:themeColor="text1"/>
          <w:w w:val="105"/>
        </w:rPr>
        <w:tab/>
      </w:r>
      <w:r w:rsidR="007E34FB">
        <w:rPr>
          <w:color w:val="000000" w:themeColor="text1"/>
          <w:w w:val="105"/>
        </w:rPr>
        <w:t>SUPRA</w:t>
      </w:r>
      <w:r w:rsidR="007E34FB" w:rsidRPr="005C5E78">
        <w:rPr>
          <w:color w:val="000000" w:themeColor="text1"/>
          <w:w w:val="105"/>
        </w:rPr>
        <w:t xml:space="preserve"> will respond promptly to</w:t>
      </w:r>
      <w:r>
        <w:rPr>
          <w:color w:val="000000" w:themeColor="text1"/>
          <w:w w:val="105"/>
        </w:rPr>
        <w:t xml:space="preserve"> reported breaches or to complaints received about the service</w:t>
      </w:r>
      <w:r w:rsidR="007E34FB" w:rsidRPr="00500118">
        <w:rPr>
          <w:color w:val="000000" w:themeColor="text1"/>
          <w:w w:val="105"/>
        </w:rPr>
        <w:t>.</w:t>
      </w:r>
    </w:p>
    <w:p w14:paraId="326437EE" w14:textId="77777777" w:rsidR="007E34FB" w:rsidRDefault="007E34FB" w:rsidP="007E34FB">
      <w:pPr>
        <w:pBdr>
          <w:bottom w:val="single" w:sz="12" w:space="1" w:color="auto"/>
        </w:pBdr>
        <w:tabs>
          <w:tab w:val="left" w:pos="993"/>
        </w:tabs>
        <w:spacing w:before="120" w:after="120"/>
        <w:ind w:right="76"/>
        <w:outlineLvl w:val="0"/>
        <w:rPr>
          <w:color w:val="000000" w:themeColor="text1"/>
          <w:w w:val="105"/>
        </w:rPr>
      </w:pPr>
    </w:p>
    <w:p w14:paraId="3185F9B3" w14:textId="77777777" w:rsidR="007E34FB" w:rsidRPr="00884903" w:rsidRDefault="007E34FB" w:rsidP="007E34FB">
      <w:pPr>
        <w:pBdr>
          <w:bottom w:val="single" w:sz="12" w:space="1" w:color="auto"/>
        </w:pBdr>
        <w:tabs>
          <w:tab w:val="left" w:pos="993"/>
        </w:tabs>
        <w:spacing w:before="120" w:after="120"/>
        <w:ind w:right="76"/>
        <w:outlineLvl w:val="0"/>
        <w:rPr>
          <w:rFonts w:eastAsia="Century Gothic Bold" w:cs="Century Gothic Bold"/>
          <w:b/>
          <w:bCs/>
          <w:color w:val="000000" w:themeColor="text1"/>
          <w:sz w:val="28"/>
          <w:szCs w:val="28"/>
          <w:lang w:val="en-AU"/>
        </w:rPr>
      </w:pPr>
    </w:p>
    <w:p w14:paraId="0BFEC106" w14:textId="47BF9F93" w:rsidR="001F37F4" w:rsidRPr="00884903" w:rsidRDefault="001F37F4" w:rsidP="00C67C4D">
      <w:pPr>
        <w:pStyle w:val="BodyText"/>
        <w:tabs>
          <w:tab w:val="left" w:pos="993"/>
        </w:tabs>
        <w:spacing w:before="120" w:after="120"/>
        <w:rPr>
          <w:lang w:val="en-AU"/>
        </w:rPr>
      </w:pPr>
      <w:r w:rsidRPr="00884903">
        <w:rPr>
          <w:lang w:val="en-AU"/>
        </w:rPr>
        <w:br w:type="page"/>
      </w:r>
    </w:p>
    <w:p w14:paraId="473FAE6A" w14:textId="77777777" w:rsidR="005D492D" w:rsidRPr="00884903" w:rsidRDefault="00503BC8" w:rsidP="00C67C4D">
      <w:pPr>
        <w:pStyle w:val="Heading1"/>
        <w:tabs>
          <w:tab w:val="left" w:pos="993"/>
        </w:tabs>
        <w:spacing w:before="120" w:after="120"/>
        <w:ind w:left="0" w:firstLine="0"/>
        <w:rPr>
          <w:sz w:val="28"/>
          <w:szCs w:val="28"/>
          <w:lang w:val="en-AU"/>
        </w:rPr>
      </w:pPr>
      <w:r w:rsidRPr="00884903">
        <w:rPr>
          <w:sz w:val="28"/>
          <w:szCs w:val="28"/>
          <w:lang w:val="en-AU"/>
        </w:rPr>
        <w:lastRenderedPageBreak/>
        <w:t>NOTES</w:t>
      </w:r>
    </w:p>
    <w:p w14:paraId="7112EAED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02CC96A8" w14:textId="78BF825A" w:rsidR="005D492D" w:rsidRPr="00884903" w:rsidRDefault="00A74E84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  <w:r w:rsidRPr="00884903">
        <w:rPr>
          <w:rFonts w:ascii="Century Gothic Bold"/>
          <w:b/>
          <w:lang w:val="en-AU"/>
        </w:rPr>
        <w:t xml:space="preserve">SUPRA </w:t>
      </w:r>
      <w:r w:rsidR="009A1C04">
        <w:rPr>
          <w:rFonts w:ascii="Century Gothic Bold"/>
          <w:b/>
          <w:lang w:val="en-AU"/>
        </w:rPr>
        <w:t xml:space="preserve">Postgraduate Advocate and Policy Officer </w:t>
      </w:r>
      <w:r w:rsidR="00921B18" w:rsidRPr="00884903">
        <w:rPr>
          <w:rFonts w:ascii="Century Gothic Bold"/>
          <w:b/>
          <w:lang w:val="en-AU"/>
        </w:rPr>
        <w:t>Policy</w:t>
      </w:r>
    </w:p>
    <w:p w14:paraId="7DE33FFF" w14:textId="77777777" w:rsidR="00A74E84" w:rsidRPr="00884903" w:rsidRDefault="00A74E84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7DBC5B35" w14:textId="1BD2CDFC" w:rsidR="005D492D" w:rsidRPr="00884903" w:rsidRDefault="00503BC8" w:rsidP="00C67C4D">
      <w:pPr>
        <w:pStyle w:val="BodyText"/>
        <w:tabs>
          <w:tab w:val="left" w:pos="993"/>
          <w:tab w:val="left" w:pos="3017"/>
        </w:tabs>
        <w:spacing w:before="120" w:after="12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4"/>
          <w:lang w:val="en-AU"/>
        </w:rPr>
        <w:t xml:space="preserve"> </w:t>
      </w:r>
      <w:r w:rsidR="00A74E84" w:rsidRPr="00884903">
        <w:rPr>
          <w:lang w:val="en-AU"/>
        </w:rPr>
        <w:t>ratified</w:t>
      </w:r>
      <w:r w:rsidR="002C57AB" w:rsidRPr="00884903">
        <w:rPr>
          <w:lang w:val="en-AU"/>
        </w:rPr>
        <w:t xml:space="preserve"> by Council</w:t>
      </w:r>
      <w:r w:rsidR="00A74E84" w:rsidRPr="00884903">
        <w:rPr>
          <w:lang w:val="en-AU"/>
        </w:rPr>
        <w:t>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9D7FE6">
        <w:rPr>
          <w:lang w:val="en-AU"/>
        </w:rPr>
        <w:t>15 August 2013</w:t>
      </w:r>
    </w:p>
    <w:p w14:paraId="3E03F897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sz w:val="23"/>
          <w:lang w:val="en-AU"/>
        </w:rPr>
      </w:pPr>
    </w:p>
    <w:p w14:paraId="25990B1A" w14:textId="7F547CFD" w:rsidR="00A74E84" w:rsidRPr="00884903" w:rsidRDefault="00503BC8" w:rsidP="006A77DA">
      <w:pPr>
        <w:pStyle w:val="BodyText"/>
        <w:tabs>
          <w:tab w:val="left" w:pos="993"/>
          <w:tab w:val="left" w:pos="3017"/>
        </w:tabs>
        <w:spacing w:before="120" w:after="120"/>
        <w:ind w:left="3600" w:right="218" w:hanging="360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1"/>
          <w:lang w:val="en-AU"/>
        </w:rPr>
        <w:t xml:space="preserve"> </w:t>
      </w:r>
      <w:r w:rsidR="00A74E84" w:rsidRPr="00884903">
        <w:rPr>
          <w:lang w:val="en-AU"/>
        </w:rPr>
        <w:t>commenced: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9D7FE6">
        <w:rPr>
          <w:lang w:val="en-AU"/>
        </w:rPr>
        <w:t>15 August 2013</w:t>
      </w:r>
    </w:p>
    <w:p w14:paraId="474691AA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4495"/>
        <w:rPr>
          <w:lang w:val="en-AU"/>
        </w:rPr>
      </w:pPr>
    </w:p>
    <w:p w14:paraId="39649ED5" w14:textId="17F3A482" w:rsidR="005D492D" w:rsidRPr="00884903" w:rsidRDefault="00503BC8" w:rsidP="006A77DA">
      <w:pPr>
        <w:pStyle w:val="BodyText"/>
        <w:tabs>
          <w:tab w:val="left" w:pos="993"/>
          <w:tab w:val="left" w:pos="3017"/>
        </w:tabs>
        <w:spacing w:before="120" w:after="120"/>
        <w:ind w:left="3600" w:right="76" w:hanging="3600"/>
        <w:rPr>
          <w:lang w:val="en-AU"/>
        </w:rPr>
      </w:pPr>
      <w:r w:rsidRPr="00884903">
        <w:rPr>
          <w:lang w:val="en-AU"/>
        </w:rPr>
        <w:t>Date</w:t>
      </w:r>
      <w:r w:rsidRPr="00884903">
        <w:rPr>
          <w:spacing w:val="-1"/>
          <w:lang w:val="en-AU"/>
        </w:rPr>
        <w:t xml:space="preserve"> </w:t>
      </w:r>
      <w:r w:rsidR="00A74E84" w:rsidRPr="00884903">
        <w:rPr>
          <w:spacing w:val="-1"/>
          <w:lang w:val="en-AU"/>
        </w:rPr>
        <w:t xml:space="preserve">last </w:t>
      </w:r>
      <w:r w:rsidRPr="00884903">
        <w:rPr>
          <w:lang w:val="en-AU"/>
        </w:rPr>
        <w:t>amended:</w:t>
      </w:r>
      <w:r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661210">
        <w:rPr>
          <w:lang w:val="en-AU"/>
        </w:rPr>
        <w:t>28 October 2021</w:t>
      </w:r>
    </w:p>
    <w:p w14:paraId="794F14D3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</w:p>
    <w:p w14:paraId="76692725" w14:textId="5D8B0A6A" w:rsidR="00435381" w:rsidRPr="00884903" w:rsidRDefault="00503BC8" w:rsidP="00435381">
      <w:pPr>
        <w:pStyle w:val="BodyText"/>
        <w:tabs>
          <w:tab w:val="left" w:pos="993"/>
          <w:tab w:val="left" w:pos="3017"/>
        </w:tabs>
        <w:spacing w:before="120" w:after="120"/>
        <w:ind w:left="3600" w:right="76" w:hanging="3600"/>
        <w:rPr>
          <w:lang w:val="en-AU"/>
        </w:rPr>
      </w:pPr>
      <w:r w:rsidRPr="00884903">
        <w:rPr>
          <w:lang w:val="en-AU"/>
        </w:rPr>
        <w:t>Administrator:</w:t>
      </w:r>
      <w:r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A74E84" w:rsidRPr="00884903">
        <w:rPr>
          <w:lang w:val="en-AU"/>
        </w:rPr>
        <w:t>President, SUPRA</w:t>
      </w:r>
    </w:p>
    <w:p w14:paraId="69DEDC55" w14:textId="77777777" w:rsidR="002C57AB" w:rsidRPr="00884903" w:rsidRDefault="002C57AB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</w:p>
    <w:p w14:paraId="642E3362" w14:textId="58043CD5" w:rsidR="005D492D" w:rsidRPr="00884903" w:rsidRDefault="00503BC8" w:rsidP="00C67C4D">
      <w:pPr>
        <w:pStyle w:val="BodyText"/>
        <w:tabs>
          <w:tab w:val="left" w:pos="993"/>
          <w:tab w:val="left" w:pos="3017"/>
        </w:tabs>
        <w:spacing w:before="120" w:after="120"/>
        <w:ind w:right="76"/>
        <w:rPr>
          <w:lang w:val="en-AU"/>
        </w:rPr>
      </w:pPr>
      <w:r w:rsidRPr="00884903">
        <w:rPr>
          <w:lang w:val="en-AU"/>
        </w:rPr>
        <w:t>Review</w:t>
      </w:r>
      <w:r w:rsidRPr="00884903">
        <w:rPr>
          <w:spacing w:val="-2"/>
          <w:lang w:val="en-AU"/>
        </w:rPr>
        <w:t xml:space="preserve"> </w:t>
      </w:r>
      <w:r w:rsidR="00A74E84" w:rsidRPr="00884903">
        <w:rPr>
          <w:lang w:val="en-AU"/>
        </w:rPr>
        <w:t>date:</w:t>
      </w:r>
      <w:r w:rsidR="00A74E84" w:rsidRPr="00884903">
        <w:rPr>
          <w:lang w:val="en-AU"/>
        </w:rPr>
        <w:tab/>
      </w:r>
      <w:r w:rsidR="002C57AB" w:rsidRPr="00884903">
        <w:rPr>
          <w:lang w:val="en-AU"/>
        </w:rPr>
        <w:tab/>
      </w:r>
      <w:r w:rsidR="00661210">
        <w:rPr>
          <w:lang w:val="en-AU"/>
        </w:rPr>
        <w:t>28 October 202</w:t>
      </w:r>
      <w:r w:rsidR="00661210">
        <w:rPr>
          <w:lang w:val="en-AU"/>
        </w:rPr>
        <w:t>3</w:t>
      </w:r>
    </w:p>
    <w:p w14:paraId="5B7626EB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ind w:right="76"/>
        <w:rPr>
          <w:sz w:val="23"/>
          <w:lang w:val="en-AU"/>
        </w:rPr>
      </w:pPr>
    </w:p>
    <w:p w14:paraId="5EBFE9EC" w14:textId="773CD708" w:rsidR="005D492D" w:rsidRPr="00884903" w:rsidRDefault="00193E6C" w:rsidP="00C67C4D">
      <w:pPr>
        <w:pStyle w:val="Heading1"/>
        <w:tabs>
          <w:tab w:val="left" w:pos="993"/>
        </w:tabs>
        <w:spacing w:before="120" w:after="120"/>
        <w:ind w:left="0" w:firstLine="0"/>
        <w:rPr>
          <w:sz w:val="28"/>
          <w:szCs w:val="28"/>
          <w:lang w:val="en-AU"/>
        </w:rPr>
      </w:pPr>
      <w:r w:rsidRPr="00884903">
        <w:rPr>
          <w:sz w:val="28"/>
          <w:szCs w:val="28"/>
          <w:lang w:val="en-AU"/>
        </w:rPr>
        <w:t>Amendment History</w:t>
      </w:r>
    </w:p>
    <w:p w14:paraId="037DF9CD" w14:textId="77777777" w:rsidR="005D492D" w:rsidRPr="00884903" w:rsidRDefault="005D492D" w:rsidP="00C67C4D">
      <w:pPr>
        <w:pStyle w:val="BodyText"/>
        <w:tabs>
          <w:tab w:val="left" w:pos="993"/>
        </w:tabs>
        <w:spacing w:before="120" w:after="120"/>
        <w:rPr>
          <w:rFonts w:ascii="Century Gothic Bold"/>
          <w:b/>
          <w:lang w:val="en-AU"/>
        </w:rPr>
      </w:pPr>
    </w:p>
    <w:p w14:paraId="439D0B4F" w14:textId="77777777" w:rsidR="0028541C" w:rsidRPr="005652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Name change</w:t>
      </w:r>
      <w:r w:rsidRPr="0056525F">
        <w:rPr>
          <w:rFonts w:ascii="Century Gothic Bold"/>
          <w:b/>
          <w:sz w:val="24"/>
        </w:rPr>
        <w:t>:</w:t>
      </w:r>
    </w:p>
    <w:p w14:paraId="7AC79EAD" w14:textId="7EE0B646" w:rsidR="0028541C" w:rsidRPr="00472694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Cs/>
          <w:sz w:val="24"/>
        </w:rPr>
      </w:pPr>
      <w:r>
        <w:rPr>
          <w:rFonts w:ascii="Century Gothic Bold"/>
          <w:bCs/>
          <w:sz w:val="24"/>
        </w:rPr>
        <w:t xml:space="preserve">This policy was previously known as the </w:t>
      </w:r>
      <w:r w:rsidRPr="00472694">
        <w:rPr>
          <w:bCs/>
          <w:sz w:val="24"/>
          <w:szCs w:val="24"/>
        </w:rPr>
        <w:t xml:space="preserve">SUPRA </w:t>
      </w:r>
      <w:r w:rsidRPr="00472694">
        <w:rPr>
          <w:color w:val="000000" w:themeColor="text1"/>
          <w:sz w:val="24"/>
          <w:szCs w:val="24"/>
          <w:lang w:val="en-AU"/>
        </w:rPr>
        <w:t xml:space="preserve">Student Advice and Advocacy Officer </w:t>
      </w:r>
      <w:r>
        <w:rPr>
          <w:color w:val="000000" w:themeColor="text1"/>
          <w:sz w:val="24"/>
          <w:szCs w:val="24"/>
          <w:lang w:val="en-AU"/>
        </w:rPr>
        <w:t>Policy 2013</w:t>
      </w:r>
      <w:r w:rsidRPr="00472694">
        <w:rPr>
          <w:rFonts w:ascii="Century Gothic Bold"/>
          <w:bCs/>
          <w:sz w:val="24"/>
        </w:rPr>
        <w:t>.</w:t>
      </w:r>
    </w:p>
    <w:p w14:paraId="571F4FE7" w14:textId="77777777" w:rsidR="0028541C" w:rsidRPr="005652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Cs/>
          <w:sz w:val="24"/>
        </w:rPr>
      </w:pPr>
    </w:p>
    <w:p w14:paraId="674930E6" w14:textId="77777777" w:rsidR="0028541C" w:rsidRPr="00A3375F" w:rsidRDefault="0028541C" w:rsidP="0028541C">
      <w:pPr>
        <w:tabs>
          <w:tab w:val="left" w:pos="993"/>
          <w:tab w:val="left" w:pos="3017"/>
          <w:tab w:val="left" w:pos="6617"/>
        </w:tabs>
        <w:spacing w:before="120" w:after="120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Dates amended:</w:t>
      </w:r>
    </w:p>
    <w:p w14:paraId="5FC26640" w14:textId="11A5DDAA" w:rsidR="00801F50" w:rsidRPr="00661210" w:rsidRDefault="00661210" w:rsidP="0028541C">
      <w:pPr>
        <w:pStyle w:val="BodyText"/>
        <w:numPr>
          <w:ilvl w:val="0"/>
          <w:numId w:val="4"/>
        </w:numPr>
        <w:tabs>
          <w:tab w:val="left" w:pos="993"/>
        </w:tabs>
        <w:spacing w:before="120" w:after="120"/>
        <w:rPr>
          <w:lang w:val="en-AU"/>
        </w:rPr>
      </w:pPr>
      <w:r>
        <w:rPr>
          <w:lang w:val="en-AU"/>
        </w:rPr>
        <w:t>28 October 2021</w:t>
      </w:r>
    </w:p>
    <w:sectPr w:rsidR="00801F50" w:rsidRPr="00661210">
      <w:footerReference w:type="even" r:id="rId8"/>
      <w:footerReference w:type="default" r:id="rId9"/>
      <w:pgSz w:w="11910" w:h="16840"/>
      <w:pgMar w:top="1580" w:right="1300" w:bottom="1420" w:left="13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4FCC" w14:textId="77777777" w:rsidR="000853F3" w:rsidRDefault="000853F3">
      <w:r>
        <w:separator/>
      </w:r>
    </w:p>
  </w:endnote>
  <w:endnote w:type="continuationSeparator" w:id="0">
    <w:p w14:paraId="24D02617" w14:textId="77777777" w:rsidR="000853F3" w:rsidRDefault="000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 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2B8" w14:textId="77777777" w:rsidR="00CB6177" w:rsidRDefault="00CB6177" w:rsidP="000968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7FCD4" w14:textId="77777777" w:rsidR="00CB6177" w:rsidRDefault="00CB6177" w:rsidP="003E4D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2AC" w14:textId="77777777" w:rsidR="00CB6177" w:rsidRPr="003E4DCF" w:rsidRDefault="00CB6177" w:rsidP="003E4DCF">
    <w:pPr>
      <w:pStyle w:val="Footer"/>
      <w:framePr w:wrap="none" w:vAnchor="text" w:hAnchor="page" w:x="10502" w:y="65"/>
      <w:rPr>
        <w:rStyle w:val="PageNumber"/>
        <w:color w:val="000000" w:themeColor="text1"/>
        <w:sz w:val="20"/>
        <w:szCs w:val="20"/>
      </w:rPr>
    </w:pPr>
    <w:r w:rsidRPr="003E4DCF">
      <w:rPr>
        <w:rStyle w:val="PageNumber"/>
        <w:color w:val="000000" w:themeColor="text1"/>
        <w:sz w:val="20"/>
        <w:szCs w:val="20"/>
      </w:rPr>
      <w:fldChar w:fldCharType="begin"/>
    </w:r>
    <w:r w:rsidRPr="003E4DCF">
      <w:rPr>
        <w:rStyle w:val="PageNumber"/>
        <w:color w:val="000000" w:themeColor="text1"/>
        <w:sz w:val="20"/>
        <w:szCs w:val="20"/>
      </w:rPr>
      <w:instrText xml:space="preserve">PAGE  </w:instrText>
    </w:r>
    <w:r w:rsidRPr="003E4DCF">
      <w:rPr>
        <w:rStyle w:val="PageNumber"/>
        <w:color w:val="000000" w:themeColor="text1"/>
        <w:sz w:val="20"/>
        <w:szCs w:val="20"/>
      </w:rPr>
      <w:fldChar w:fldCharType="separate"/>
    </w:r>
    <w:r>
      <w:rPr>
        <w:rStyle w:val="PageNumber"/>
        <w:noProof/>
        <w:color w:val="000000" w:themeColor="text1"/>
        <w:sz w:val="20"/>
        <w:szCs w:val="20"/>
      </w:rPr>
      <w:t>1</w:t>
    </w:r>
    <w:r w:rsidRPr="003E4DCF">
      <w:rPr>
        <w:rStyle w:val="PageNumber"/>
        <w:color w:val="000000" w:themeColor="text1"/>
        <w:sz w:val="20"/>
        <w:szCs w:val="20"/>
      </w:rPr>
      <w:fldChar w:fldCharType="end"/>
    </w:r>
  </w:p>
  <w:p w14:paraId="39894DB4" w14:textId="75CABDA4" w:rsidR="00CB6177" w:rsidRDefault="00CB6177" w:rsidP="003E4DCF">
    <w:pPr>
      <w:pStyle w:val="BodyText"/>
      <w:spacing w:line="14" w:lineRule="auto"/>
      <w:ind w:right="36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1937A3B8" wp14:editId="163C60F7">
              <wp:simplePos x="0" y="0"/>
              <wp:positionH relativeFrom="page">
                <wp:posOffset>914400</wp:posOffset>
              </wp:positionH>
              <wp:positionV relativeFrom="page">
                <wp:posOffset>9773920</wp:posOffset>
              </wp:positionV>
              <wp:extent cx="3982720" cy="568960"/>
              <wp:effectExtent l="0" t="0" r="508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72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9A133" w14:textId="77777777" w:rsidR="00CB6177" w:rsidRPr="003E4DCF" w:rsidRDefault="00CB6177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055380E7" w14:textId="77777777" w:rsidR="0028541C" w:rsidRDefault="00CB6177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E4DCF">
                            <w:rPr>
                              <w:color w:val="000000" w:themeColor="text1"/>
                              <w:sz w:val="20"/>
                            </w:rPr>
                            <w:t xml:space="preserve">SUPRA </w:t>
                          </w:r>
                          <w:r w:rsidR="0028541C" w:rsidRPr="0028541C">
                            <w:rPr>
                              <w:color w:val="000000" w:themeColor="text1"/>
                              <w:sz w:val="20"/>
                              <w:lang w:val="en-AU"/>
                            </w:rPr>
                            <w:t>Postgraduate Advocate &amp; Policy Officer</w:t>
                          </w:r>
                          <w:r w:rsidR="00921B18">
                            <w:rPr>
                              <w:color w:val="000000" w:themeColor="text1"/>
                              <w:sz w:val="20"/>
                            </w:rPr>
                            <w:t xml:space="preserve"> Policy</w:t>
                          </w:r>
                          <w:r w:rsidR="001E09FE"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14:paraId="65EA9CB2" w14:textId="5696EF8A" w:rsidR="00CB6177" w:rsidRPr="003E4DCF" w:rsidRDefault="001E09FE" w:rsidP="003E4DCF">
                          <w:pPr>
                            <w:spacing w:before="21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ratified by Council </w:t>
                          </w:r>
                          <w:r w:rsidR="00661210">
                            <w:rPr>
                              <w:lang w:val="en-AU"/>
                            </w:rPr>
                            <w:t>28 October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7A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69.6pt;width:313.6pt;height:44.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" filled="f" stroked="f">
              <v:textbox inset="0,0,0,0">
                <w:txbxContent>
                  <w:p w14:paraId="5409A133" w14:textId="77777777" w:rsidR="00CB6177" w:rsidRPr="003E4DCF" w:rsidRDefault="00CB6177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</w:p>
                  <w:p w14:paraId="055380E7" w14:textId="77777777" w:rsidR="0028541C" w:rsidRDefault="00CB6177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  <w:r w:rsidRPr="003E4DCF">
                      <w:rPr>
                        <w:color w:val="000000" w:themeColor="text1"/>
                        <w:sz w:val="20"/>
                      </w:rPr>
                      <w:t xml:space="preserve">SUPRA </w:t>
                    </w:r>
                    <w:r w:rsidR="0028541C" w:rsidRPr="0028541C">
                      <w:rPr>
                        <w:color w:val="000000" w:themeColor="text1"/>
                        <w:sz w:val="20"/>
                        <w:lang w:val="en-AU"/>
                      </w:rPr>
                      <w:t>Postgraduate Advocate &amp; Policy Officer</w:t>
                    </w:r>
                    <w:r w:rsidR="00921B18">
                      <w:rPr>
                        <w:color w:val="000000" w:themeColor="text1"/>
                        <w:sz w:val="20"/>
                      </w:rPr>
                      <w:t xml:space="preserve"> Policy</w:t>
                    </w:r>
                    <w:r w:rsidR="001E09FE">
                      <w:rPr>
                        <w:color w:val="000000" w:themeColor="text1"/>
                        <w:sz w:val="20"/>
                      </w:rPr>
                      <w:t xml:space="preserve"> </w:t>
                    </w:r>
                  </w:p>
                  <w:p w14:paraId="65EA9CB2" w14:textId="5696EF8A" w:rsidR="00CB6177" w:rsidRPr="003E4DCF" w:rsidRDefault="001E09FE" w:rsidP="003E4DCF">
                    <w:pPr>
                      <w:spacing w:before="21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 xml:space="preserve">ratified by Council </w:t>
                    </w:r>
                    <w:r w:rsidR="00661210">
                      <w:rPr>
                        <w:lang w:val="en-AU"/>
                      </w:rPr>
                      <w:t>28 October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1F5D" w14:textId="77777777" w:rsidR="000853F3" w:rsidRDefault="000853F3">
      <w:r>
        <w:separator/>
      </w:r>
    </w:p>
  </w:footnote>
  <w:footnote w:type="continuationSeparator" w:id="0">
    <w:p w14:paraId="02ED0491" w14:textId="77777777" w:rsidR="000853F3" w:rsidRDefault="0008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A46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F68"/>
    <w:multiLevelType w:val="hybridMultilevel"/>
    <w:tmpl w:val="F7146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1100A"/>
    <w:multiLevelType w:val="hybridMultilevel"/>
    <w:tmpl w:val="3A66E350"/>
    <w:lvl w:ilvl="0" w:tplc="798433F8">
      <w:start w:val="3"/>
      <w:numFmt w:val="lowerRoman"/>
      <w:lvlText w:val="%1)"/>
      <w:lvlJc w:val="left"/>
      <w:pPr>
        <w:ind w:left="2880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6A0528D"/>
    <w:multiLevelType w:val="hybridMultilevel"/>
    <w:tmpl w:val="438EFB5C"/>
    <w:lvl w:ilvl="0" w:tplc="0C090017">
      <w:start w:val="1"/>
      <w:numFmt w:val="lowerLetter"/>
      <w:lvlText w:val="%1)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770764C"/>
    <w:multiLevelType w:val="hybridMultilevel"/>
    <w:tmpl w:val="A0127BC0"/>
    <w:lvl w:ilvl="0" w:tplc="FD60DD5E">
      <w:start w:val="1"/>
      <w:numFmt w:val="lowerLetter"/>
      <w:lvlText w:val="%1)"/>
      <w:lvlJc w:val="left"/>
      <w:pPr>
        <w:ind w:left="2000" w:hanging="440"/>
      </w:pPr>
      <w:rPr>
        <w:rFonts w:ascii="Century Gothic" w:eastAsia="Century Gothic" w:hAnsi="Century Gothic" w:cs="Century Gothic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C0539F1"/>
    <w:multiLevelType w:val="hybridMultilevel"/>
    <w:tmpl w:val="3A66E350"/>
    <w:lvl w:ilvl="0" w:tplc="798433F8">
      <w:start w:val="3"/>
      <w:numFmt w:val="lowerRoman"/>
      <w:lvlText w:val="%1)"/>
      <w:lvlJc w:val="left"/>
      <w:pPr>
        <w:ind w:left="2880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1C570EF"/>
    <w:multiLevelType w:val="hybridMultilevel"/>
    <w:tmpl w:val="85BE665A"/>
    <w:lvl w:ilvl="0" w:tplc="8A66F61E">
      <w:start w:val="1"/>
      <w:numFmt w:val="lowerRoman"/>
      <w:lvlText w:val="%1)"/>
      <w:lvlJc w:val="left"/>
      <w:pPr>
        <w:ind w:left="2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0" w:hanging="360"/>
      </w:pPr>
    </w:lvl>
    <w:lvl w:ilvl="2" w:tplc="0809001B" w:tentative="1">
      <w:start w:val="1"/>
      <w:numFmt w:val="lowerRoman"/>
      <w:lvlText w:val="%3."/>
      <w:lvlJc w:val="right"/>
      <w:pPr>
        <w:ind w:left="3800" w:hanging="180"/>
      </w:pPr>
    </w:lvl>
    <w:lvl w:ilvl="3" w:tplc="0809000F" w:tentative="1">
      <w:start w:val="1"/>
      <w:numFmt w:val="decimal"/>
      <w:lvlText w:val="%4."/>
      <w:lvlJc w:val="left"/>
      <w:pPr>
        <w:ind w:left="4520" w:hanging="360"/>
      </w:pPr>
    </w:lvl>
    <w:lvl w:ilvl="4" w:tplc="08090019" w:tentative="1">
      <w:start w:val="1"/>
      <w:numFmt w:val="lowerLetter"/>
      <w:lvlText w:val="%5."/>
      <w:lvlJc w:val="left"/>
      <w:pPr>
        <w:ind w:left="5240" w:hanging="360"/>
      </w:pPr>
    </w:lvl>
    <w:lvl w:ilvl="5" w:tplc="0809001B" w:tentative="1">
      <w:start w:val="1"/>
      <w:numFmt w:val="lowerRoman"/>
      <w:lvlText w:val="%6."/>
      <w:lvlJc w:val="right"/>
      <w:pPr>
        <w:ind w:left="5960" w:hanging="180"/>
      </w:pPr>
    </w:lvl>
    <w:lvl w:ilvl="6" w:tplc="0809000F" w:tentative="1">
      <w:start w:val="1"/>
      <w:numFmt w:val="decimal"/>
      <w:lvlText w:val="%7."/>
      <w:lvlJc w:val="left"/>
      <w:pPr>
        <w:ind w:left="6680" w:hanging="360"/>
      </w:pPr>
    </w:lvl>
    <w:lvl w:ilvl="7" w:tplc="08090019" w:tentative="1">
      <w:start w:val="1"/>
      <w:numFmt w:val="lowerLetter"/>
      <w:lvlText w:val="%8."/>
      <w:lvlJc w:val="left"/>
      <w:pPr>
        <w:ind w:left="7400" w:hanging="360"/>
      </w:pPr>
    </w:lvl>
    <w:lvl w:ilvl="8" w:tplc="08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7" w15:restartNumberingAfterBreak="0">
    <w:nsid w:val="7A4D1F79"/>
    <w:multiLevelType w:val="multilevel"/>
    <w:tmpl w:val="197AD54E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F4A13A3"/>
    <w:multiLevelType w:val="hybridMultilevel"/>
    <w:tmpl w:val="E7A2D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2D"/>
    <w:rsid w:val="00001061"/>
    <w:rsid w:val="00001E98"/>
    <w:rsid w:val="00005D13"/>
    <w:rsid w:val="000405E6"/>
    <w:rsid w:val="00053F54"/>
    <w:rsid w:val="00064766"/>
    <w:rsid w:val="00070809"/>
    <w:rsid w:val="00080D46"/>
    <w:rsid w:val="00083DF2"/>
    <w:rsid w:val="000853F3"/>
    <w:rsid w:val="0009172D"/>
    <w:rsid w:val="000954E1"/>
    <w:rsid w:val="000968F7"/>
    <w:rsid w:val="000A64FE"/>
    <w:rsid w:val="000B19DD"/>
    <w:rsid w:val="000B26DE"/>
    <w:rsid w:val="000B4847"/>
    <w:rsid w:val="000D1581"/>
    <w:rsid w:val="000D2769"/>
    <w:rsid w:val="000D347A"/>
    <w:rsid w:val="000E3DF1"/>
    <w:rsid w:val="000F1356"/>
    <w:rsid w:val="00115BDA"/>
    <w:rsid w:val="00117D2B"/>
    <w:rsid w:val="00120225"/>
    <w:rsid w:val="00120AFF"/>
    <w:rsid w:val="0012350B"/>
    <w:rsid w:val="0012754F"/>
    <w:rsid w:val="001435D8"/>
    <w:rsid w:val="00145B19"/>
    <w:rsid w:val="0014633D"/>
    <w:rsid w:val="00146810"/>
    <w:rsid w:val="0015248A"/>
    <w:rsid w:val="00153D03"/>
    <w:rsid w:val="00154803"/>
    <w:rsid w:val="0015681B"/>
    <w:rsid w:val="00160709"/>
    <w:rsid w:val="001633D6"/>
    <w:rsid w:val="0017029E"/>
    <w:rsid w:val="00172E5E"/>
    <w:rsid w:val="0017426E"/>
    <w:rsid w:val="00180C8E"/>
    <w:rsid w:val="00181616"/>
    <w:rsid w:val="00193E6C"/>
    <w:rsid w:val="001960A8"/>
    <w:rsid w:val="001A47D3"/>
    <w:rsid w:val="001A781F"/>
    <w:rsid w:val="001C1D18"/>
    <w:rsid w:val="001C3DE7"/>
    <w:rsid w:val="001D349E"/>
    <w:rsid w:val="001E09FE"/>
    <w:rsid w:val="001E34E5"/>
    <w:rsid w:val="001F37F4"/>
    <w:rsid w:val="001F6D7D"/>
    <w:rsid w:val="0021428B"/>
    <w:rsid w:val="002330A8"/>
    <w:rsid w:val="00237B80"/>
    <w:rsid w:val="00237E51"/>
    <w:rsid w:val="002432D1"/>
    <w:rsid w:val="00257F8A"/>
    <w:rsid w:val="00260EFD"/>
    <w:rsid w:val="002655F0"/>
    <w:rsid w:val="0028541C"/>
    <w:rsid w:val="002873DF"/>
    <w:rsid w:val="00296BA7"/>
    <w:rsid w:val="002A554E"/>
    <w:rsid w:val="002B249A"/>
    <w:rsid w:val="002B3EA7"/>
    <w:rsid w:val="002B4884"/>
    <w:rsid w:val="002B7A75"/>
    <w:rsid w:val="002C0079"/>
    <w:rsid w:val="002C57AB"/>
    <w:rsid w:val="002C6786"/>
    <w:rsid w:val="002D54AA"/>
    <w:rsid w:val="002D5585"/>
    <w:rsid w:val="002E0120"/>
    <w:rsid w:val="002E0E50"/>
    <w:rsid w:val="002E2FA4"/>
    <w:rsid w:val="002E3C10"/>
    <w:rsid w:val="002F24A0"/>
    <w:rsid w:val="002F26D1"/>
    <w:rsid w:val="00304C32"/>
    <w:rsid w:val="00307197"/>
    <w:rsid w:val="00307AE3"/>
    <w:rsid w:val="003106A3"/>
    <w:rsid w:val="0031405E"/>
    <w:rsid w:val="00346447"/>
    <w:rsid w:val="00357666"/>
    <w:rsid w:val="00361FD6"/>
    <w:rsid w:val="00370427"/>
    <w:rsid w:val="00371A8E"/>
    <w:rsid w:val="00381929"/>
    <w:rsid w:val="00381B65"/>
    <w:rsid w:val="00394F62"/>
    <w:rsid w:val="003C110F"/>
    <w:rsid w:val="003E46D3"/>
    <w:rsid w:val="003E4DCF"/>
    <w:rsid w:val="003F0224"/>
    <w:rsid w:val="003F13F1"/>
    <w:rsid w:val="003F157E"/>
    <w:rsid w:val="003F70B1"/>
    <w:rsid w:val="00401576"/>
    <w:rsid w:val="00402A11"/>
    <w:rsid w:val="00416AD0"/>
    <w:rsid w:val="004270FC"/>
    <w:rsid w:val="00435381"/>
    <w:rsid w:val="00451575"/>
    <w:rsid w:val="00453544"/>
    <w:rsid w:val="00484C6A"/>
    <w:rsid w:val="00490001"/>
    <w:rsid w:val="00494631"/>
    <w:rsid w:val="004A092A"/>
    <w:rsid w:val="004C3B0E"/>
    <w:rsid w:val="004C5328"/>
    <w:rsid w:val="004E05EF"/>
    <w:rsid w:val="004E0824"/>
    <w:rsid w:val="004E5795"/>
    <w:rsid w:val="004F1B98"/>
    <w:rsid w:val="00503BC8"/>
    <w:rsid w:val="00524DD2"/>
    <w:rsid w:val="005447DE"/>
    <w:rsid w:val="00552F46"/>
    <w:rsid w:val="005634C7"/>
    <w:rsid w:val="00565844"/>
    <w:rsid w:val="005667A8"/>
    <w:rsid w:val="00573614"/>
    <w:rsid w:val="00583CF8"/>
    <w:rsid w:val="005904A9"/>
    <w:rsid w:val="00596F9E"/>
    <w:rsid w:val="005A109B"/>
    <w:rsid w:val="005A23D1"/>
    <w:rsid w:val="005A55AC"/>
    <w:rsid w:val="005B52B3"/>
    <w:rsid w:val="005C4EF3"/>
    <w:rsid w:val="005C75EA"/>
    <w:rsid w:val="005D492D"/>
    <w:rsid w:val="005D5E8B"/>
    <w:rsid w:val="005E0D94"/>
    <w:rsid w:val="005E7448"/>
    <w:rsid w:val="005F3E71"/>
    <w:rsid w:val="005F58C9"/>
    <w:rsid w:val="0061014C"/>
    <w:rsid w:val="00620F60"/>
    <w:rsid w:val="00621A2D"/>
    <w:rsid w:val="00621B42"/>
    <w:rsid w:val="0062414D"/>
    <w:rsid w:val="00624C0C"/>
    <w:rsid w:val="00624DAA"/>
    <w:rsid w:val="00625786"/>
    <w:rsid w:val="00625F41"/>
    <w:rsid w:val="00626874"/>
    <w:rsid w:val="00626C2E"/>
    <w:rsid w:val="00626F3A"/>
    <w:rsid w:val="0062722D"/>
    <w:rsid w:val="006406A7"/>
    <w:rsid w:val="00644B26"/>
    <w:rsid w:val="00644CAA"/>
    <w:rsid w:val="00646EA0"/>
    <w:rsid w:val="006538D8"/>
    <w:rsid w:val="00661210"/>
    <w:rsid w:val="006678C6"/>
    <w:rsid w:val="006727EA"/>
    <w:rsid w:val="006836D2"/>
    <w:rsid w:val="00684A36"/>
    <w:rsid w:val="006919FE"/>
    <w:rsid w:val="00694B0B"/>
    <w:rsid w:val="006A29C3"/>
    <w:rsid w:val="006A77DA"/>
    <w:rsid w:val="006B007C"/>
    <w:rsid w:val="006B1A22"/>
    <w:rsid w:val="006B2325"/>
    <w:rsid w:val="006B6DA2"/>
    <w:rsid w:val="006B7EC7"/>
    <w:rsid w:val="006C37CE"/>
    <w:rsid w:val="006C454A"/>
    <w:rsid w:val="006C56EE"/>
    <w:rsid w:val="006C7503"/>
    <w:rsid w:val="006C7721"/>
    <w:rsid w:val="00706FB2"/>
    <w:rsid w:val="00712382"/>
    <w:rsid w:val="00716CC0"/>
    <w:rsid w:val="00717B12"/>
    <w:rsid w:val="00720CC0"/>
    <w:rsid w:val="00720D3C"/>
    <w:rsid w:val="0073704D"/>
    <w:rsid w:val="00741FED"/>
    <w:rsid w:val="00782BB0"/>
    <w:rsid w:val="007844F2"/>
    <w:rsid w:val="00790DE9"/>
    <w:rsid w:val="00790FF6"/>
    <w:rsid w:val="00794714"/>
    <w:rsid w:val="00795280"/>
    <w:rsid w:val="007953E4"/>
    <w:rsid w:val="007A3717"/>
    <w:rsid w:val="007A5F76"/>
    <w:rsid w:val="007B6FAC"/>
    <w:rsid w:val="007C0772"/>
    <w:rsid w:val="007C1113"/>
    <w:rsid w:val="007C23A2"/>
    <w:rsid w:val="007E34FB"/>
    <w:rsid w:val="00801F50"/>
    <w:rsid w:val="00804B8E"/>
    <w:rsid w:val="00805E5A"/>
    <w:rsid w:val="0080688D"/>
    <w:rsid w:val="008231B2"/>
    <w:rsid w:val="00837767"/>
    <w:rsid w:val="00843ED6"/>
    <w:rsid w:val="008517B8"/>
    <w:rsid w:val="00877335"/>
    <w:rsid w:val="00881A01"/>
    <w:rsid w:val="00884903"/>
    <w:rsid w:val="00885380"/>
    <w:rsid w:val="00886A78"/>
    <w:rsid w:val="008874BE"/>
    <w:rsid w:val="008965A1"/>
    <w:rsid w:val="008B15BA"/>
    <w:rsid w:val="008B1AC3"/>
    <w:rsid w:val="008C02CA"/>
    <w:rsid w:val="008C14AB"/>
    <w:rsid w:val="008C3C8A"/>
    <w:rsid w:val="008C6BEB"/>
    <w:rsid w:val="008C7CA5"/>
    <w:rsid w:val="008E1D3E"/>
    <w:rsid w:val="008E441F"/>
    <w:rsid w:val="008E568A"/>
    <w:rsid w:val="008E7A97"/>
    <w:rsid w:val="009017FD"/>
    <w:rsid w:val="00901CC8"/>
    <w:rsid w:val="009120A7"/>
    <w:rsid w:val="00920E81"/>
    <w:rsid w:val="00921B18"/>
    <w:rsid w:val="00924DBD"/>
    <w:rsid w:val="00955BD9"/>
    <w:rsid w:val="00957E48"/>
    <w:rsid w:val="00963212"/>
    <w:rsid w:val="00965A37"/>
    <w:rsid w:val="00965F6F"/>
    <w:rsid w:val="00966BFD"/>
    <w:rsid w:val="00982FDD"/>
    <w:rsid w:val="009915AA"/>
    <w:rsid w:val="00996128"/>
    <w:rsid w:val="009A1C04"/>
    <w:rsid w:val="009A413A"/>
    <w:rsid w:val="009A4E3A"/>
    <w:rsid w:val="009B2257"/>
    <w:rsid w:val="009B226A"/>
    <w:rsid w:val="009B5E35"/>
    <w:rsid w:val="009C123E"/>
    <w:rsid w:val="009C479D"/>
    <w:rsid w:val="009C658F"/>
    <w:rsid w:val="009D10CB"/>
    <w:rsid w:val="009D436D"/>
    <w:rsid w:val="009D6E79"/>
    <w:rsid w:val="009D7FE6"/>
    <w:rsid w:val="009E0E87"/>
    <w:rsid w:val="009E5204"/>
    <w:rsid w:val="009E7396"/>
    <w:rsid w:val="009F445A"/>
    <w:rsid w:val="009F7610"/>
    <w:rsid w:val="00A128E3"/>
    <w:rsid w:val="00A12BC8"/>
    <w:rsid w:val="00A20865"/>
    <w:rsid w:val="00A23986"/>
    <w:rsid w:val="00A3375F"/>
    <w:rsid w:val="00A3515C"/>
    <w:rsid w:val="00A40730"/>
    <w:rsid w:val="00A424A0"/>
    <w:rsid w:val="00A47B0E"/>
    <w:rsid w:val="00A5250E"/>
    <w:rsid w:val="00A53561"/>
    <w:rsid w:val="00A55D10"/>
    <w:rsid w:val="00A57B44"/>
    <w:rsid w:val="00A72AFF"/>
    <w:rsid w:val="00A74E84"/>
    <w:rsid w:val="00A74ECB"/>
    <w:rsid w:val="00A752C5"/>
    <w:rsid w:val="00A8680D"/>
    <w:rsid w:val="00AA6282"/>
    <w:rsid w:val="00AA7765"/>
    <w:rsid w:val="00AB1A0C"/>
    <w:rsid w:val="00AB3A45"/>
    <w:rsid w:val="00AB63B4"/>
    <w:rsid w:val="00AC4688"/>
    <w:rsid w:val="00AC77FF"/>
    <w:rsid w:val="00AD1784"/>
    <w:rsid w:val="00AF18C3"/>
    <w:rsid w:val="00AF63D4"/>
    <w:rsid w:val="00B11AEE"/>
    <w:rsid w:val="00B14466"/>
    <w:rsid w:val="00B149F9"/>
    <w:rsid w:val="00B16615"/>
    <w:rsid w:val="00B22EC1"/>
    <w:rsid w:val="00B35309"/>
    <w:rsid w:val="00B369C1"/>
    <w:rsid w:val="00B40001"/>
    <w:rsid w:val="00B50951"/>
    <w:rsid w:val="00B56807"/>
    <w:rsid w:val="00B7542F"/>
    <w:rsid w:val="00B77C26"/>
    <w:rsid w:val="00B807B3"/>
    <w:rsid w:val="00B85D92"/>
    <w:rsid w:val="00B92982"/>
    <w:rsid w:val="00B92A5E"/>
    <w:rsid w:val="00B946B8"/>
    <w:rsid w:val="00B96702"/>
    <w:rsid w:val="00BA20AA"/>
    <w:rsid w:val="00BA45C6"/>
    <w:rsid w:val="00BA4B40"/>
    <w:rsid w:val="00BB1C87"/>
    <w:rsid w:val="00BB7D34"/>
    <w:rsid w:val="00BC268A"/>
    <w:rsid w:val="00BC3351"/>
    <w:rsid w:val="00BC5E92"/>
    <w:rsid w:val="00BD3BD5"/>
    <w:rsid w:val="00BE4438"/>
    <w:rsid w:val="00BE50BD"/>
    <w:rsid w:val="00C018DC"/>
    <w:rsid w:val="00C03D10"/>
    <w:rsid w:val="00C05A11"/>
    <w:rsid w:val="00C27CD5"/>
    <w:rsid w:val="00C400C3"/>
    <w:rsid w:val="00C438A1"/>
    <w:rsid w:val="00C505D5"/>
    <w:rsid w:val="00C6530A"/>
    <w:rsid w:val="00C67C4D"/>
    <w:rsid w:val="00C70571"/>
    <w:rsid w:val="00C803A8"/>
    <w:rsid w:val="00C84EF6"/>
    <w:rsid w:val="00C85E32"/>
    <w:rsid w:val="00C87E33"/>
    <w:rsid w:val="00C95112"/>
    <w:rsid w:val="00C95DBF"/>
    <w:rsid w:val="00CA2A57"/>
    <w:rsid w:val="00CA5BD7"/>
    <w:rsid w:val="00CB28CF"/>
    <w:rsid w:val="00CB6177"/>
    <w:rsid w:val="00CC392A"/>
    <w:rsid w:val="00CD3B5A"/>
    <w:rsid w:val="00CD4C3B"/>
    <w:rsid w:val="00CE4333"/>
    <w:rsid w:val="00CE72A6"/>
    <w:rsid w:val="00CE751E"/>
    <w:rsid w:val="00CF151E"/>
    <w:rsid w:val="00D01275"/>
    <w:rsid w:val="00D05BE2"/>
    <w:rsid w:val="00D171E8"/>
    <w:rsid w:val="00D41A09"/>
    <w:rsid w:val="00D4452C"/>
    <w:rsid w:val="00D527F4"/>
    <w:rsid w:val="00D64753"/>
    <w:rsid w:val="00DA5E21"/>
    <w:rsid w:val="00DA7658"/>
    <w:rsid w:val="00DB2A1B"/>
    <w:rsid w:val="00DC034B"/>
    <w:rsid w:val="00DC226E"/>
    <w:rsid w:val="00DC3809"/>
    <w:rsid w:val="00DC6083"/>
    <w:rsid w:val="00DD0C64"/>
    <w:rsid w:val="00DE76F3"/>
    <w:rsid w:val="00DE7BE3"/>
    <w:rsid w:val="00DF1452"/>
    <w:rsid w:val="00E105AD"/>
    <w:rsid w:val="00E121F8"/>
    <w:rsid w:val="00E30B68"/>
    <w:rsid w:val="00E32A85"/>
    <w:rsid w:val="00E37BE9"/>
    <w:rsid w:val="00E41D43"/>
    <w:rsid w:val="00E62F4F"/>
    <w:rsid w:val="00E66788"/>
    <w:rsid w:val="00E8533F"/>
    <w:rsid w:val="00E9003B"/>
    <w:rsid w:val="00EA714A"/>
    <w:rsid w:val="00EB201E"/>
    <w:rsid w:val="00EB4939"/>
    <w:rsid w:val="00EC283E"/>
    <w:rsid w:val="00EC3ED2"/>
    <w:rsid w:val="00ED376A"/>
    <w:rsid w:val="00ED7634"/>
    <w:rsid w:val="00EE1F1A"/>
    <w:rsid w:val="00EE25D3"/>
    <w:rsid w:val="00EF3E9A"/>
    <w:rsid w:val="00F17724"/>
    <w:rsid w:val="00F35E35"/>
    <w:rsid w:val="00F405EB"/>
    <w:rsid w:val="00F40A9A"/>
    <w:rsid w:val="00F460DB"/>
    <w:rsid w:val="00F46CBD"/>
    <w:rsid w:val="00F5356C"/>
    <w:rsid w:val="00F61EDD"/>
    <w:rsid w:val="00F63A83"/>
    <w:rsid w:val="00F67242"/>
    <w:rsid w:val="00F67907"/>
    <w:rsid w:val="00F73821"/>
    <w:rsid w:val="00F77ADC"/>
    <w:rsid w:val="00F84482"/>
    <w:rsid w:val="00F92D16"/>
    <w:rsid w:val="00FA57D7"/>
    <w:rsid w:val="00FA7C0F"/>
    <w:rsid w:val="00FB23BA"/>
    <w:rsid w:val="00FB63C3"/>
    <w:rsid w:val="00FB6D8E"/>
    <w:rsid w:val="00FD3024"/>
    <w:rsid w:val="00FD5AEC"/>
    <w:rsid w:val="00FD7571"/>
    <w:rsid w:val="00FE43A4"/>
    <w:rsid w:val="00FE740C"/>
    <w:rsid w:val="00FF19F4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E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017F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857" w:hanging="721"/>
      <w:outlineLvl w:val="0"/>
    </w:pPr>
    <w:rPr>
      <w:rFonts w:ascii="Century Gothic Bold" w:eastAsia="Century Gothic Bold" w:hAnsi="Century Gothic Bold" w:cs="Century Gothic Bol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74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Paragraph 2"/>
    <w:basedOn w:val="Normal"/>
    <w:uiPriority w:val="34"/>
    <w:qFormat/>
    <w:pPr>
      <w:ind w:left="85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74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E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40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E6"/>
    <w:rPr>
      <w:rFonts w:ascii="Century Gothic" w:eastAsia="Century Gothic" w:hAnsi="Century Gothic" w:cs="Century Gothic"/>
    </w:rPr>
  </w:style>
  <w:style w:type="character" w:styleId="PageNumber">
    <w:name w:val="page number"/>
    <w:basedOn w:val="DefaultParagraphFont"/>
    <w:uiPriority w:val="99"/>
    <w:semiHidden/>
    <w:unhideWhenUsed/>
    <w:rsid w:val="001F6D7D"/>
  </w:style>
  <w:style w:type="paragraph" w:customStyle="1" w:styleId="Style1">
    <w:name w:val="Style1"/>
    <w:basedOn w:val="Normal"/>
    <w:qFormat/>
    <w:rsid w:val="008E7A97"/>
    <w:pPr>
      <w:widowControl/>
      <w:autoSpaceDE/>
      <w:autoSpaceDN/>
    </w:pPr>
    <w:rPr>
      <w:rFonts w:asciiTheme="minorHAnsi" w:eastAsiaTheme="minorHAnsi" w:hAnsiTheme="minorHAnsi" w:cstheme="minorBidi"/>
      <w:color w:val="C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7A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97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97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97"/>
    <w:rPr>
      <w:rFonts w:ascii="Times New Roman" w:eastAsia="Century Gothic" w:hAnsi="Times New Roman" w:cs="Times New Roman"/>
      <w:sz w:val="18"/>
      <w:szCs w:val="18"/>
    </w:rPr>
  </w:style>
  <w:style w:type="paragraph" w:customStyle="1" w:styleId="Headingtest1">
    <w:name w:val="Heading test 1"/>
    <w:basedOn w:val="Normal"/>
    <w:qFormat/>
    <w:rsid w:val="00C87E33"/>
    <w:pPr>
      <w:widowControl/>
      <w:autoSpaceDE/>
      <w:autoSpaceDN/>
    </w:pPr>
    <w:rPr>
      <w:rFonts w:asciiTheme="majorHAnsi" w:eastAsiaTheme="minorHAnsi" w:hAnsiTheme="majorHAnsi" w:cstheme="minorBidi"/>
      <w:b/>
      <w:color w:val="00B050"/>
      <w:sz w:val="28"/>
      <w:szCs w:val="24"/>
      <w:lang w:val="en-AU"/>
    </w:rPr>
  </w:style>
  <w:style w:type="paragraph" w:customStyle="1" w:styleId="NoteLevel21">
    <w:name w:val="Note Level 21"/>
    <w:basedOn w:val="Normal"/>
    <w:uiPriority w:val="99"/>
    <w:rsid w:val="00C87E33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Theme="minorHAnsi" w:hAnsi="Verdana" w:cstheme="minorBidi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4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452C"/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9017FD"/>
    <w:rPr>
      <w:rFonts w:ascii="Century Gothic" w:eastAsia="Century Gothic" w:hAnsi="Century Gothic" w:cs="Century Gothic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237B80"/>
    <w:pPr>
      <w:widowControl/>
      <w:autoSpaceDE/>
      <w:autoSpaceDN/>
      <w:spacing w:before="60"/>
      <w:ind w:left="567"/>
    </w:pPr>
    <w:rPr>
      <w:rFonts w:ascii="Helvetica Neue Light" w:eastAsia="Times New Roman" w:hAnsi="Helvetica Neue Light" w:cs="Times New Roman"/>
      <w:color w:val="5A5A5A"/>
      <w:sz w:val="24"/>
      <w:szCs w:val="24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Eligibility Policy Legal Service.docx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Eligibility Policy Legal Service.docx</dc:title>
  <cp:lastModifiedBy>Ingrid van Tongeren</cp:lastModifiedBy>
  <cp:revision>8</cp:revision>
  <cp:lastPrinted>2021-07-19T00:33:00Z</cp:lastPrinted>
  <dcterms:created xsi:type="dcterms:W3CDTF">2021-10-20T05:49:00Z</dcterms:created>
  <dcterms:modified xsi:type="dcterms:W3CDTF">2021-10-31T04:56:00Z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2020-03-13T00:00:00Z</vt:filetime>
  </property>
</Properties>
</file>